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AE5" w:rsidRPr="00CB71E5" w:rsidRDefault="00F44AE5" w:rsidP="00EE52C3">
      <w:pPr>
        <w:jc w:val="right"/>
        <w:rPr>
          <w:rFonts w:ascii="Times New Roman" w:eastAsia="Times New Roman" w:hAnsi="Times New Roman" w:cs="Times New Roman"/>
          <w:b/>
          <w:bCs/>
          <w:color w:val="206C61"/>
          <w:sz w:val="20"/>
          <w:szCs w:val="20"/>
          <w:lang w:val="en"/>
        </w:rPr>
      </w:pPr>
      <w:r>
        <w:rPr>
          <w:rFonts w:ascii="Times New Roman" w:eastAsia="Times New Roman" w:hAnsi="Times New Roman" w:cs="Times New Roman"/>
          <w:b/>
          <w:bCs/>
          <w:color w:val="F47920"/>
          <w:sz w:val="20"/>
          <w:szCs w:val="20"/>
          <w:lang w:val="en"/>
        </w:rPr>
        <w:t xml:space="preserve"> </w:t>
      </w:r>
      <w:r w:rsidR="00820332" w:rsidRPr="00CB71E5">
        <w:rPr>
          <w:rFonts w:ascii="Times New Roman" w:eastAsia="Times New Roman" w:hAnsi="Times New Roman" w:cs="Times New Roman"/>
          <w:b/>
          <w:bCs/>
          <w:color w:val="206C61"/>
          <w:sz w:val="20"/>
          <w:szCs w:val="20"/>
          <w:lang w:val="en"/>
        </w:rPr>
        <w:t xml:space="preserve">London, </w:t>
      </w:r>
      <w:r w:rsidR="00A2063C" w:rsidRPr="00CB71E5">
        <w:rPr>
          <w:rFonts w:ascii="Times New Roman" w:eastAsia="Times New Roman" w:hAnsi="Times New Roman" w:cs="Times New Roman"/>
          <w:b/>
          <w:bCs/>
          <w:color w:val="206C61"/>
          <w:sz w:val="20"/>
          <w:szCs w:val="20"/>
          <w:lang w:val="en"/>
        </w:rPr>
        <w:t>29</w:t>
      </w:r>
      <w:r w:rsidR="00820332" w:rsidRPr="00CB71E5">
        <w:rPr>
          <w:rFonts w:ascii="Times New Roman" w:eastAsia="Times New Roman" w:hAnsi="Times New Roman" w:cs="Times New Roman"/>
          <w:b/>
          <w:bCs/>
          <w:color w:val="206C61"/>
          <w:sz w:val="20"/>
          <w:szCs w:val="20"/>
          <w:lang w:val="en"/>
        </w:rPr>
        <w:t xml:space="preserve"> May 2018</w:t>
      </w:r>
    </w:p>
    <w:p w:rsidR="00F44AE5" w:rsidRDefault="00F44AE5" w:rsidP="00820332">
      <w:pPr>
        <w:jc w:val="right"/>
        <w:rPr>
          <w:rFonts w:ascii="Times New Roman" w:eastAsia="Times New Roman" w:hAnsi="Times New Roman" w:cs="Times New Roman"/>
          <w:b/>
          <w:bCs/>
          <w:color w:val="1A524A"/>
          <w:sz w:val="20"/>
          <w:szCs w:val="20"/>
          <w:lang w:val="en"/>
        </w:rPr>
      </w:pPr>
    </w:p>
    <w:p w:rsidR="00943C7B" w:rsidRDefault="00943C7B" w:rsidP="00EE52C3">
      <w:pPr>
        <w:jc w:val="center"/>
        <w:rPr>
          <w:rFonts w:ascii="Times New Roman" w:eastAsia="Times New Roman" w:hAnsi="Times New Roman" w:cs="Times New Roman"/>
          <w:b/>
          <w:bCs/>
          <w:i/>
          <w:color w:val="226C61"/>
          <w:sz w:val="20"/>
          <w:szCs w:val="20"/>
          <w:lang w:val="en"/>
        </w:rPr>
      </w:pPr>
    </w:p>
    <w:p w:rsidR="00317F9F" w:rsidRPr="00CB71E5" w:rsidRDefault="00317F9F" w:rsidP="00EE52C3">
      <w:pPr>
        <w:jc w:val="center"/>
        <w:rPr>
          <w:rFonts w:ascii="Times New Roman" w:eastAsia="Times New Roman" w:hAnsi="Times New Roman" w:cs="Times New Roman"/>
          <w:b/>
          <w:bCs/>
          <w:i/>
          <w:color w:val="226C61"/>
          <w:sz w:val="20"/>
          <w:szCs w:val="20"/>
          <w:lang w:val="en"/>
        </w:rPr>
      </w:pPr>
      <w:bookmarkStart w:id="0" w:name="_GoBack"/>
      <w:r w:rsidRPr="00CB71E5">
        <w:rPr>
          <w:rFonts w:ascii="Times New Roman" w:eastAsia="Times New Roman" w:hAnsi="Times New Roman" w:cs="Times New Roman"/>
          <w:b/>
          <w:bCs/>
          <w:i/>
          <w:color w:val="226C61"/>
          <w:sz w:val="20"/>
          <w:szCs w:val="20"/>
          <w:lang w:val="en"/>
        </w:rPr>
        <w:t>Demerger Update: Georgia Capital PLC Admission</w:t>
      </w:r>
    </w:p>
    <w:bookmarkEnd w:id="0"/>
    <w:p w:rsidR="00A905D1" w:rsidRDefault="00A905D1" w:rsidP="00A905D1">
      <w:pPr>
        <w:autoSpaceDE w:val="0"/>
        <w:autoSpaceDN w:val="0"/>
        <w:spacing w:after="0" w:line="240" w:lineRule="auto"/>
        <w:jc w:val="both"/>
        <w:rPr>
          <w:rFonts w:ascii="Times New Roman" w:eastAsia="Calibri" w:hAnsi="Times New Roman" w:cs="Times New Roman"/>
          <w:b/>
          <w:sz w:val="20"/>
          <w:szCs w:val="20"/>
          <w:lang w:val="en-GB"/>
        </w:rPr>
      </w:pPr>
    </w:p>
    <w:p w:rsidR="00A905D1" w:rsidRPr="0068293F" w:rsidRDefault="00A905D1" w:rsidP="00A905D1">
      <w:pPr>
        <w:autoSpaceDE w:val="0"/>
        <w:autoSpaceDN w:val="0"/>
        <w:spacing w:after="0" w:line="240" w:lineRule="auto"/>
        <w:jc w:val="both"/>
        <w:rPr>
          <w:rFonts w:ascii="Times New Roman" w:eastAsia="Calibri" w:hAnsi="Times New Roman" w:cs="Times New Roman"/>
          <w:b/>
          <w:sz w:val="20"/>
          <w:szCs w:val="20"/>
          <w:lang w:val="en-GB"/>
        </w:rPr>
      </w:pPr>
      <w:r w:rsidRPr="0068293F">
        <w:rPr>
          <w:rFonts w:ascii="Times New Roman" w:eastAsia="Calibri" w:hAnsi="Times New Roman" w:cs="Times New Roman"/>
          <w:b/>
          <w:sz w:val="20"/>
          <w:szCs w:val="20"/>
          <w:lang w:val="en-GB"/>
        </w:rPr>
        <w:t>Admission</w:t>
      </w:r>
    </w:p>
    <w:p w:rsidR="00A905D1" w:rsidRDefault="00A905D1" w:rsidP="00A905D1">
      <w:pPr>
        <w:autoSpaceDE w:val="0"/>
        <w:autoSpaceDN w:val="0"/>
        <w:spacing w:after="0" w:line="240" w:lineRule="auto"/>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Georgia Capital PLC ("</w:t>
      </w:r>
      <w:r>
        <w:rPr>
          <w:rFonts w:ascii="Times New Roman" w:eastAsia="Calibri" w:hAnsi="Times New Roman" w:cs="Times New Roman"/>
          <w:b/>
          <w:sz w:val="20"/>
          <w:szCs w:val="20"/>
          <w:lang w:val="en-GB"/>
        </w:rPr>
        <w:t>Georgia Capital</w:t>
      </w:r>
      <w:r>
        <w:rPr>
          <w:rFonts w:ascii="Times New Roman" w:eastAsia="Calibri" w:hAnsi="Times New Roman" w:cs="Times New Roman"/>
          <w:sz w:val="20"/>
          <w:szCs w:val="20"/>
          <w:lang w:val="en-GB"/>
        </w:rPr>
        <w:t>")</w:t>
      </w:r>
      <w:r w:rsidRPr="00DF2C77">
        <w:rPr>
          <w:rFonts w:ascii="Times New Roman" w:eastAsia="Calibri" w:hAnsi="Times New Roman" w:cs="Times New Roman"/>
          <w:sz w:val="20"/>
          <w:szCs w:val="20"/>
          <w:lang w:val="en-GB"/>
        </w:rPr>
        <w:t xml:space="preserve"> is pleased to announce </w:t>
      </w:r>
      <w:r>
        <w:rPr>
          <w:rFonts w:ascii="Times New Roman" w:eastAsia="Calibri" w:hAnsi="Times New Roman" w:cs="Times New Roman"/>
          <w:sz w:val="20"/>
          <w:szCs w:val="20"/>
          <w:lang w:val="en-GB"/>
        </w:rPr>
        <w:t>that</w:t>
      </w:r>
      <w:r w:rsidRPr="006372F8">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 xml:space="preserve">its </w:t>
      </w:r>
      <w:r w:rsidRPr="006372F8">
        <w:rPr>
          <w:rFonts w:ascii="Times New Roman" w:eastAsia="Calibri" w:hAnsi="Times New Roman" w:cs="Times New Roman"/>
          <w:sz w:val="20"/>
          <w:szCs w:val="20"/>
          <w:lang w:val="en-GB"/>
        </w:rPr>
        <w:t xml:space="preserve">admission of </w:t>
      </w:r>
      <w:r>
        <w:rPr>
          <w:rFonts w:ascii="Times New Roman" w:eastAsia="Calibri" w:hAnsi="Times New Roman" w:cs="Times New Roman"/>
          <w:sz w:val="20"/>
          <w:szCs w:val="20"/>
          <w:lang w:val="en-GB"/>
        </w:rPr>
        <w:t xml:space="preserve">39,384,714 </w:t>
      </w:r>
      <w:r w:rsidRPr="006372F8">
        <w:rPr>
          <w:rFonts w:ascii="Times New Roman" w:eastAsia="Calibri" w:hAnsi="Times New Roman" w:cs="Times New Roman"/>
          <w:sz w:val="20"/>
          <w:szCs w:val="20"/>
          <w:lang w:val="en-GB"/>
        </w:rPr>
        <w:t xml:space="preserve">ordinary shares to the premium listing segment of the Official </w:t>
      </w:r>
      <w:r>
        <w:rPr>
          <w:rFonts w:ascii="Times New Roman" w:eastAsia="Calibri" w:hAnsi="Times New Roman" w:cs="Times New Roman"/>
          <w:sz w:val="20"/>
          <w:szCs w:val="20"/>
          <w:lang w:val="en-GB"/>
        </w:rPr>
        <w:t>L</w:t>
      </w:r>
      <w:r w:rsidRPr="006372F8">
        <w:rPr>
          <w:rFonts w:ascii="Times New Roman" w:eastAsia="Calibri" w:hAnsi="Times New Roman" w:cs="Times New Roman"/>
          <w:sz w:val="20"/>
          <w:szCs w:val="20"/>
          <w:lang w:val="en-GB"/>
        </w:rPr>
        <w:t>ist and to trading on the London Stock Exchange's main market for listed securities</w:t>
      </w:r>
      <w:r>
        <w:rPr>
          <w:rFonts w:ascii="Times New Roman" w:eastAsia="Calibri" w:hAnsi="Times New Roman" w:cs="Times New Roman"/>
          <w:sz w:val="20"/>
          <w:szCs w:val="20"/>
          <w:lang w:val="en-GB"/>
        </w:rPr>
        <w:t xml:space="preserve"> ("</w:t>
      </w:r>
      <w:r>
        <w:rPr>
          <w:rFonts w:ascii="Times New Roman" w:eastAsia="Calibri" w:hAnsi="Times New Roman" w:cs="Times New Roman"/>
          <w:b/>
          <w:sz w:val="20"/>
          <w:szCs w:val="20"/>
          <w:lang w:val="en-GB"/>
        </w:rPr>
        <w:t>Admission</w:t>
      </w:r>
      <w:r>
        <w:rPr>
          <w:rFonts w:ascii="Times New Roman" w:eastAsia="Calibri" w:hAnsi="Times New Roman" w:cs="Times New Roman"/>
          <w:sz w:val="20"/>
          <w:szCs w:val="20"/>
          <w:lang w:val="en-GB"/>
        </w:rPr>
        <w:t>"), under the ticker CGEO,</w:t>
      </w:r>
      <w:r w:rsidRPr="006372F8">
        <w:rPr>
          <w:rFonts w:ascii="Times New Roman" w:eastAsia="Calibri" w:hAnsi="Times New Roman" w:cs="Times New Roman"/>
          <w:sz w:val="20"/>
          <w:szCs w:val="20"/>
          <w:lang w:val="en-GB"/>
        </w:rPr>
        <w:t xml:space="preserve"> took place at 8.00 a.m. this morning</w:t>
      </w:r>
      <w:r>
        <w:rPr>
          <w:rFonts w:ascii="Times New Roman" w:eastAsia="Calibri" w:hAnsi="Times New Roman" w:cs="Times New Roman"/>
          <w:sz w:val="20"/>
          <w:szCs w:val="20"/>
          <w:lang w:val="en-GB"/>
        </w:rPr>
        <w:t xml:space="preserve"> following the demerger of the Investment Business from Bank of Georgia Group PLC </w:t>
      </w:r>
      <w:r>
        <w:rPr>
          <w:rFonts w:ascii="Times New Roman" w:eastAsia="Calibri" w:hAnsi="Times New Roman" w:cs="Times New Roman"/>
          <w:sz w:val="20"/>
          <w:szCs w:val="20"/>
        </w:rPr>
        <w:t>("</w:t>
      </w:r>
      <w:r>
        <w:rPr>
          <w:rFonts w:ascii="Times New Roman" w:eastAsia="Calibri" w:hAnsi="Times New Roman" w:cs="Times New Roman"/>
          <w:b/>
          <w:sz w:val="20"/>
          <w:szCs w:val="20"/>
        </w:rPr>
        <w:t>Bank of Georgia Group</w:t>
      </w:r>
      <w:r>
        <w:rPr>
          <w:rFonts w:ascii="Times New Roman" w:eastAsia="Calibri" w:hAnsi="Times New Roman" w:cs="Times New Roman"/>
          <w:sz w:val="20"/>
          <w:szCs w:val="20"/>
        </w:rPr>
        <w:t>")</w:t>
      </w:r>
      <w:r w:rsidRPr="006372F8">
        <w:rPr>
          <w:rFonts w:ascii="Times New Roman" w:eastAsia="Calibri" w:hAnsi="Times New Roman" w:cs="Times New Roman"/>
          <w:sz w:val="20"/>
          <w:szCs w:val="20"/>
          <w:lang w:val="en-GB"/>
        </w:rPr>
        <w:t>.</w:t>
      </w:r>
    </w:p>
    <w:p w:rsidR="00A905D1" w:rsidRDefault="00A905D1" w:rsidP="00A905D1">
      <w:pPr>
        <w:autoSpaceDE w:val="0"/>
        <w:autoSpaceDN w:val="0"/>
        <w:spacing w:after="0" w:line="240" w:lineRule="auto"/>
        <w:jc w:val="both"/>
        <w:rPr>
          <w:rFonts w:ascii="Times New Roman" w:eastAsia="Calibri" w:hAnsi="Times New Roman" w:cs="Times New Roman"/>
          <w:sz w:val="20"/>
          <w:szCs w:val="20"/>
          <w:lang w:val="en-GB"/>
        </w:rPr>
      </w:pPr>
    </w:p>
    <w:p w:rsidR="00A905D1" w:rsidRDefault="00A905D1" w:rsidP="00A905D1">
      <w:pPr>
        <w:tabs>
          <w:tab w:val="center" w:pos="4844"/>
          <w:tab w:val="right" w:pos="9689"/>
        </w:tabs>
        <w:spacing w:after="0" w:line="240" w:lineRule="auto"/>
        <w:jc w:val="both"/>
        <w:rPr>
          <w:rFonts w:ascii="Times New Roman" w:eastAsia="Calibri" w:hAnsi="Times New Roman" w:cs="Times New Roman"/>
          <w:sz w:val="20"/>
          <w:szCs w:val="20"/>
          <w:lang w:val="en-GB"/>
        </w:rPr>
      </w:pPr>
      <w:r>
        <w:rPr>
          <w:rFonts w:ascii="Times New Roman" w:eastAsia="Calibri" w:hAnsi="Times New Roman" w:cs="Times New Roman"/>
          <w:sz w:val="20"/>
          <w:szCs w:val="20"/>
        </w:rPr>
        <w:t>Immediately prior to Admission, Bank of Georgia Group issued and allotted 9,784,716 Bank of Georgia Group Shares (the "</w:t>
      </w:r>
      <w:r>
        <w:rPr>
          <w:rFonts w:ascii="Times New Roman" w:eastAsia="Calibri" w:hAnsi="Times New Roman" w:cs="Times New Roman"/>
          <w:b/>
          <w:sz w:val="20"/>
          <w:szCs w:val="20"/>
        </w:rPr>
        <w:t>Consideration Shares</w:t>
      </w:r>
      <w:r>
        <w:rPr>
          <w:rFonts w:ascii="Times New Roman" w:eastAsia="Calibri" w:hAnsi="Times New Roman" w:cs="Times New Roman"/>
          <w:sz w:val="20"/>
          <w:szCs w:val="20"/>
        </w:rPr>
        <w:t>", equivalent to 19.9% of Bank of Georgia Group's issued ordinary share capital) to Georgia Capital in consideration for the transfer to Bank of Georgia Group by Georgia Capital of Georgia Capital's stake in the Banking Business.</w:t>
      </w:r>
      <w:r>
        <w:rPr>
          <w:rFonts w:ascii="Times New Roman" w:eastAsia="Calibri" w:hAnsi="Times New Roman" w:cs="Times New Roman"/>
          <w:sz w:val="20"/>
          <w:szCs w:val="20"/>
          <w:lang w:val="en-GB"/>
        </w:rPr>
        <w:t xml:space="preserve"> As set out in the Bank of Georgia Group prospectus dated 26 March 2018,</w:t>
      </w:r>
      <w:r>
        <w:t xml:space="preserve"> </w:t>
      </w:r>
      <w:r>
        <w:rPr>
          <w:rFonts w:ascii="Times New Roman" w:eastAsia="Calibri" w:hAnsi="Times New Roman" w:cs="Times New Roman"/>
          <w:sz w:val="20"/>
          <w:szCs w:val="20"/>
        </w:rPr>
        <w:t>for as long as Georgia Capital’s percentage holding in Bank of Georgia Group is greater than 9.9%, Georgia Capital will exercise its voting rights at Bank of Georgia Group general meetings in accordance with the votes cast by all other Bank of Georgia Group Shareholders on Bank of Georgia Group votes at general meetings.</w:t>
      </w:r>
      <w:r>
        <w:rPr>
          <w:rFonts w:ascii="Times New Roman" w:eastAsia="Calibri" w:hAnsi="Times New Roman" w:cs="Times New Roman"/>
          <w:sz w:val="20"/>
          <w:szCs w:val="20"/>
          <w:lang w:val="en-GB"/>
        </w:rPr>
        <w:t xml:space="preserve">  </w:t>
      </w:r>
    </w:p>
    <w:p w:rsidR="00A905D1" w:rsidRDefault="00A905D1" w:rsidP="00A905D1">
      <w:pPr>
        <w:autoSpaceDE w:val="0"/>
        <w:autoSpaceDN w:val="0"/>
        <w:spacing w:after="0" w:line="240" w:lineRule="auto"/>
        <w:jc w:val="both"/>
        <w:rPr>
          <w:rFonts w:ascii="Times New Roman" w:eastAsia="Calibri" w:hAnsi="Times New Roman" w:cs="Times New Roman"/>
          <w:sz w:val="20"/>
          <w:szCs w:val="20"/>
          <w:lang w:val="en-GB"/>
        </w:rPr>
      </w:pPr>
    </w:p>
    <w:p w:rsidR="00A905D1" w:rsidRDefault="00A905D1" w:rsidP="00A905D1">
      <w:pPr>
        <w:autoSpaceDE w:val="0"/>
        <w:autoSpaceDN w:val="0"/>
        <w:spacing w:after="0" w:line="240" w:lineRule="auto"/>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A detailed timetable of events is set out in the circular sent to BGEO Shareholders dated 26 March 2018 (the "</w:t>
      </w:r>
      <w:r>
        <w:rPr>
          <w:rFonts w:ascii="Times New Roman" w:eastAsia="Calibri" w:hAnsi="Times New Roman" w:cs="Times New Roman"/>
          <w:b/>
          <w:sz w:val="20"/>
          <w:szCs w:val="20"/>
          <w:lang w:val="en-GB"/>
        </w:rPr>
        <w:t>Circular</w:t>
      </w:r>
      <w:r>
        <w:rPr>
          <w:rFonts w:ascii="Times New Roman" w:eastAsia="Calibri" w:hAnsi="Times New Roman" w:cs="Times New Roman"/>
          <w:sz w:val="20"/>
          <w:szCs w:val="20"/>
          <w:lang w:val="en-GB"/>
        </w:rPr>
        <w:t>").</w:t>
      </w:r>
      <w:r w:rsidRPr="00DB5A26">
        <w:rPr>
          <w:rFonts w:ascii="Times New Roman" w:eastAsia="Calibri" w:hAnsi="Times New Roman" w:cs="Times New Roman"/>
          <w:sz w:val="20"/>
          <w:szCs w:val="20"/>
          <w:lang w:val="en-GB"/>
        </w:rPr>
        <w:t xml:space="preserve"> </w:t>
      </w:r>
    </w:p>
    <w:p w:rsidR="00A905D1" w:rsidRDefault="00A905D1" w:rsidP="00A905D1">
      <w:pPr>
        <w:autoSpaceDE w:val="0"/>
        <w:autoSpaceDN w:val="0"/>
        <w:spacing w:after="0" w:line="240" w:lineRule="auto"/>
        <w:jc w:val="both"/>
        <w:rPr>
          <w:rFonts w:ascii="Times New Roman" w:eastAsia="Calibri" w:hAnsi="Times New Roman" w:cs="Times New Roman"/>
          <w:sz w:val="20"/>
          <w:szCs w:val="20"/>
          <w:lang w:val="en-GB"/>
        </w:rPr>
      </w:pPr>
    </w:p>
    <w:p w:rsidR="00A905D1" w:rsidRPr="0068293F" w:rsidRDefault="00A905D1" w:rsidP="00A905D1">
      <w:pPr>
        <w:autoSpaceDE w:val="0"/>
        <w:autoSpaceDN w:val="0"/>
        <w:spacing w:after="0" w:line="240" w:lineRule="auto"/>
        <w:jc w:val="both"/>
        <w:rPr>
          <w:rFonts w:ascii="Times New Roman" w:eastAsia="Calibri" w:hAnsi="Times New Roman" w:cs="Times New Roman"/>
          <w:b/>
          <w:sz w:val="20"/>
          <w:szCs w:val="20"/>
          <w:lang w:val="en-GB"/>
        </w:rPr>
      </w:pPr>
      <w:r w:rsidRPr="0068293F">
        <w:rPr>
          <w:rFonts w:ascii="Times New Roman" w:eastAsia="Calibri" w:hAnsi="Times New Roman" w:cs="Times New Roman"/>
          <w:b/>
          <w:sz w:val="20"/>
          <w:szCs w:val="20"/>
          <w:lang w:val="en-GB"/>
        </w:rPr>
        <w:t xml:space="preserve">Proposed Reduction of Capital </w:t>
      </w:r>
    </w:p>
    <w:p w:rsidR="00A905D1" w:rsidRPr="00DB5A26" w:rsidRDefault="00A905D1" w:rsidP="00A905D1">
      <w:pPr>
        <w:autoSpaceDE w:val="0"/>
        <w:autoSpaceDN w:val="0"/>
        <w:spacing w:after="0" w:line="240" w:lineRule="auto"/>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Georgia Capital </w:t>
      </w:r>
      <w:r w:rsidRPr="00DB5A26">
        <w:rPr>
          <w:rFonts w:ascii="Times New Roman" w:eastAsia="Calibri" w:hAnsi="Times New Roman" w:cs="Times New Roman"/>
          <w:sz w:val="20"/>
          <w:szCs w:val="20"/>
          <w:lang w:val="en-GB"/>
        </w:rPr>
        <w:t xml:space="preserve">announces that its </w:t>
      </w:r>
      <w:r>
        <w:rPr>
          <w:rFonts w:ascii="Times New Roman" w:eastAsia="Calibri" w:hAnsi="Times New Roman" w:cs="Times New Roman"/>
          <w:sz w:val="20"/>
          <w:szCs w:val="20"/>
          <w:lang w:val="en-GB"/>
        </w:rPr>
        <w:t xml:space="preserve">proposed </w:t>
      </w:r>
      <w:r w:rsidRPr="00DB5A26">
        <w:rPr>
          <w:rFonts w:ascii="Times New Roman" w:eastAsia="Calibri" w:hAnsi="Times New Roman" w:cs="Times New Roman"/>
          <w:sz w:val="20"/>
          <w:szCs w:val="20"/>
          <w:lang w:val="en-GB"/>
        </w:rPr>
        <w:t xml:space="preserve">reduction of capital (including capitalising the merger reserve created in connection with the </w:t>
      </w:r>
      <w:r>
        <w:rPr>
          <w:rFonts w:ascii="Times New Roman" w:eastAsia="Calibri" w:hAnsi="Times New Roman" w:cs="Times New Roman"/>
          <w:sz w:val="20"/>
          <w:szCs w:val="20"/>
          <w:lang w:val="en-GB"/>
        </w:rPr>
        <w:t xml:space="preserve">Demerger </w:t>
      </w:r>
      <w:r w:rsidRPr="00DB5A26">
        <w:rPr>
          <w:rFonts w:ascii="Times New Roman" w:eastAsia="Calibri" w:hAnsi="Times New Roman" w:cs="Times New Roman"/>
          <w:sz w:val="20"/>
          <w:szCs w:val="20"/>
          <w:lang w:val="en-GB"/>
        </w:rPr>
        <w:t>and as described in its prospectus dated 26 March 2018</w:t>
      </w:r>
      <w:r>
        <w:rPr>
          <w:rFonts w:ascii="Times New Roman" w:eastAsia="Calibri" w:hAnsi="Times New Roman" w:cs="Times New Roman"/>
          <w:sz w:val="20"/>
          <w:szCs w:val="20"/>
          <w:lang w:val="en-GB"/>
        </w:rPr>
        <w:t xml:space="preserve"> </w:t>
      </w:r>
      <w:r w:rsidRPr="00DB5A26">
        <w:rPr>
          <w:rFonts w:ascii="Times New Roman" w:eastAsia="Calibri" w:hAnsi="Times New Roman" w:cs="Times New Roman"/>
          <w:sz w:val="20"/>
          <w:szCs w:val="20"/>
          <w:lang w:val="en-GB"/>
        </w:rPr>
        <w:t>("</w:t>
      </w:r>
      <w:r w:rsidRPr="00DB5A26">
        <w:rPr>
          <w:rFonts w:ascii="Times New Roman" w:eastAsia="Calibri" w:hAnsi="Times New Roman" w:cs="Times New Roman"/>
          <w:b/>
          <w:sz w:val="20"/>
          <w:szCs w:val="20"/>
          <w:lang w:val="en-GB"/>
        </w:rPr>
        <w:t>Reduction of Capital</w:t>
      </w:r>
      <w:r w:rsidRPr="00DB5A26">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 xml:space="preserve">, is now expected to become </w:t>
      </w:r>
      <w:r w:rsidRPr="00DB5A26">
        <w:rPr>
          <w:rFonts w:ascii="Times New Roman" w:eastAsia="Calibri" w:hAnsi="Times New Roman" w:cs="Times New Roman"/>
          <w:sz w:val="20"/>
          <w:szCs w:val="20"/>
          <w:lang w:val="en-GB"/>
        </w:rPr>
        <w:t xml:space="preserve">effective on </w:t>
      </w:r>
      <w:r>
        <w:rPr>
          <w:rFonts w:ascii="Times New Roman" w:eastAsia="Calibri" w:hAnsi="Times New Roman" w:cs="Times New Roman"/>
          <w:sz w:val="20"/>
          <w:szCs w:val="20"/>
          <w:lang w:val="en-GB"/>
        </w:rPr>
        <w:t>12 June</w:t>
      </w:r>
      <w:r w:rsidRPr="00DB5A26">
        <w:rPr>
          <w:rFonts w:ascii="Times New Roman" w:eastAsia="Calibri" w:hAnsi="Times New Roman" w:cs="Times New Roman"/>
          <w:sz w:val="20"/>
          <w:szCs w:val="20"/>
          <w:lang w:val="en-GB"/>
        </w:rPr>
        <w:t xml:space="preserve"> 2018</w:t>
      </w:r>
      <w:r>
        <w:rPr>
          <w:rFonts w:ascii="Times New Roman" w:eastAsia="Calibri" w:hAnsi="Times New Roman" w:cs="Times New Roman"/>
          <w:sz w:val="20"/>
          <w:szCs w:val="20"/>
          <w:lang w:val="en-GB"/>
        </w:rPr>
        <w:t xml:space="preserve"> (rather than on 26 June 2018 as proposed in the timetable of principal events in the Circular</w:t>
      </w:r>
      <w:proofErr w:type="gramStart"/>
      <w:r>
        <w:rPr>
          <w:rFonts w:ascii="Times New Roman" w:eastAsia="Calibri" w:hAnsi="Times New Roman" w:cs="Times New Roman"/>
          <w:sz w:val="20"/>
          <w:szCs w:val="20"/>
          <w:lang w:val="en-GB"/>
        </w:rPr>
        <w:t xml:space="preserve">) </w:t>
      </w:r>
      <w:r w:rsidRPr="00DB5A26">
        <w:rPr>
          <w:rFonts w:ascii="Times New Roman" w:eastAsia="Calibri" w:hAnsi="Times New Roman" w:cs="Times New Roman"/>
          <w:sz w:val="20"/>
          <w:szCs w:val="20"/>
          <w:lang w:val="en-GB"/>
        </w:rPr>
        <w:t>.</w:t>
      </w:r>
      <w:proofErr w:type="gramEnd"/>
      <w:r w:rsidRPr="00DB5A26">
        <w:rPr>
          <w:rFonts w:ascii="Times New Roman" w:eastAsia="Calibri" w:hAnsi="Times New Roman" w:cs="Times New Roman"/>
          <w:sz w:val="20"/>
          <w:szCs w:val="20"/>
          <w:lang w:val="en-GB"/>
        </w:rPr>
        <w:t xml:space="preserve"> The Reduction of Capital is a legal and accounting adjustment and is not expected to have any direct impact on the market value of the </w:t>
      </w:r>
      <w:r>
        <w:rPr>
          <w:rFonts w:ascii="Times New Roman" w:eastAsia="Calibri" w:hAnsi="Times New Roman" w:cs="Times New Roman"/>
          <w:sz w:val="20"/>
          <w:szCs w:val="20"/>
          <w:lang w:val="en-GB"/>
        </w:rPr>
        <w:t>Georgia Capital Shares</w:t>
      </w:r>
      <w:r w:rsidRPr="00DB5A26">
        <w:rPr>
          <w:rFonts w:ascii="Times New Roman" w:eastAsia="Calibri" w:hAnsi="Times New Roman" w:cs="Times New Roman"/>
          <w:sz w:val="20"/>
          <w:szCs w:val="20"/>
          <w:lang w:val="en-GB"/>
        </w:rPr>
        <w:t xml:space="preserve">. </w:t>
      </w:r>
    </w:p>
    <w:p w:rsidR="00A905D1" w:rsidRPr="00DB5A26" w:rsidRDefault="00A905D1" w:rsidP="00A905D1">
      <w:pPr>
        <w:autoSpaceDE w:val="0"/>
        <w:autoSpaceDN w:val="0"/>
        <w:spacing w:after="0" w:line="240" w:lineRule="auto"/>
        <w:jc w:val="both"/>
        <w:rPr>
          <w:rFonts w:ascii="Times New Roman" w:eastAsia="Calibri" w:hAnsi="Times New Roman" w:cs="Times New Roman"/>
          <w:sz w:val="20"/>
          <w:szCs w:val="20"/>
          <w:lang w:val="en-GB"/>
        </w:rPr>
      </w:pPr>
    </w:p>
    <w:p w:rsidR="00A905D1" w:rsidRDefault="00A905D1" w:rsidP="00A905D1">
      <w:pPr>
        <w:autoSpaceDE w:val="0"/>
        <w:autoSpaceDN w:val="0"/>
        <w:spacing w:after="0" w:line="240" w:lineRule="auto"/>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Capitalised terms used in this announcement have the meanings given to them in the Circular unless otherwise defined herein.</w:t>
      </w:r>
    </w:p>
    <w:p w:rsidR="00A905D1" w:rsidRDefault="00A905D1" w:rsidP="00A905D1">
      <w:pPr>
        <w:tabs>
          <w:tab w:val="center" w:pos="4844"/>
          <w:tab w:val="right" w:pos="9689"/>
        </w:tabs>
        <w:spacing w:after="0" w:line="240" w:lineRule="auto"/>
        <w:jc w:val="both"/>
        <w:rPr>
          <w:rFonts w:ascii="Times New Roman" w:eastAsia="Calibri" w:hAnsi="Times New Roman" w:cs="Times New Roman"/>
          <w:sz w:val="20"/>
          <w:szCs w:val="20"/>
          <w:lang w:val="en-GB"/>
        </w:rPr>
      </w:pPr>
    </w:p>
    <w:p w:rsidR="00A905D1" w:rsidRPr="006372F8" w:rsidRDefault="00A905D1" w:rsidP="00A905D1">
      <w:pPr>
        <w:tabs>
          <w:tab w:val="center" w:pos="4844"/>
          <w:tab w:val="right" w:pos="9689"/>
        </w:tabs>
        <w:spacing w:after="0" w:line="240" w:lineRule="auto"/>
        <w:jc w:val="both"/>
        <w:rPr>
          <w:rFonts w:ascii="Times New Roman" w:eastAsia="Calibri" w:hAnsi="Times New Roman" w:cs="Times New Roman"/>
          <w:sz w:val="20"/>
          <w:szCs w:val="20"/>
          <w:lang w:val="en-GB"/>
        </w:rPr>
      </w:pPr>
    </w:p>
    <w:p w:rsidR="00A905D1" w:rsidRDefault="00A905D1" w:rsidP="00A905D1">
      <w:pPr>
        <w:tabs>
          <w:tab w:val="center" w:pos="4844"/>
          <w:tab w:val="right" w:pos="9689"/>
        </w:tabs>
        <w:spacing w:after="0" w:line="240" w:lineRule="auto"/>
        <w:jc w:val="both"/>
        <w:rPr>
          <w:b/>
        </w:rPr>
      </w:pPr>
      <w:r>
        <w:rPr>
          <w:rFonts w:ascii="Times New Roman" w:eastAsia="Calibri" w:hAnsi="Times New Roman" w:cs="Times New Roman"/>
          <w:b/>
          <w:sz w:val="20"/>
          <w:szCs w:val="20"/>
          <w:lang w:val="en-GB"/>
        </w:rPr>
        <w:t>Forward-looking statements</w:t>
      </w:r>
      <w:r>
        <w:rPr>
          <w:b/>
        </w:rPr>
        <w:t xml:space="preserve"> </w:t>
      </w:r>
    </w:p>
    <w:p w:rsidR="00A905D1" w:rsidRDefault="00A905D1" w:rsidP="00A905D1">
      <w:pPr>
        <w:autoSpaceDE w:val="0"/>
        <w:autoSpaceDN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20"/>
          <w:szCs w:val="20"/>
          <w:lang w:val="en-GB"/>
        </w:rPr>
        <w:t xml:space="preserve">Certain statements in this announcement are forward-looking statements. By their nature, forward-looking statements involve </w:t>
      </w:r>
      <w:proofErr w:type="gramStart"/>
      <w:r>
        <w:rPr>
          <w:rFonts w:ascii="Times New Roman" w:eastAsia="Calibri" w:hAnsi="Times New Roman" w:cs="Times New Roman"/>
          <w:sz w:val="20"/>
          <w:szCs w:val="20"/>
          <w:lang w:val="en-GB"/>
        </w:rPr>
        <w:t>a number of</w:t>
      </w:r>
      <w:proofErr w:type="gramEnd"/>
      <w:r>
        <w:rPr>
          <w:rFonts w:ascii="Times New Roman" w:eastAsia="Calibri" w:hAnsi="Times New Roman" w:cs="Times New Roman"/>
          <w:sz w:val="20"/>
          <w:szCs w:val="20"/>
          <w:lang w:val="en-GB"/>
        </w:rPr>
        <w:t xml:space="preserve"> risks, uncertainties and assumptions that could cause actual results or events to differ materially from those expressed or implied by the forward-looking statements. These risks, uncertainties and assumptions could adversely affect the outcome and financial consequences of the plans and events described herein. No one undertakes any obligation to publicly update or revise any forward-looking statement, whether </w:t>
      </w:r>
      <w:proofErr w:type="gramStart"/>
      <w:r>
        <w:rPr>
          <w:rFonts w:ascii="Times New Roman" w:eastAsia="Calibri" w:hAnsi="Times New Roman" w:cs="Times New Roman"/>
          <w:sz w:val="20"/>
          <w:szCs w:val="20"/>
          <w:lang w:val="en-GB"/>
        </w:rPr>
        <w:t>as a result of</w:t>
      </w:r>
      <w:proofErr w:type="gramEnd"/>
      <w:r>
        <w:rPr>
          <w:rFonts w:ascii="Times New Roman" w:eastAsia="Calibri" w:hAnsi="Times New Roman" w:cs="Times New Roman"/>
          <w:sz w:val="20"/>
          <w:szCs w:val="20"/>
          <w:lang w:val="en-GB"/>
        </w:rPr>
        <w:t xml:space="preserve"> new information, future events or otherwise. Readers should not place any undue reliance on forward-looking statements which speak only as of the date of this announcement. Statements contained in this announcement regarding past trends or events should not be taken as representation that such trends or events will continue in the future. The statements contained herein are accurate as at the date of this announcement. Nothing contained in this announcement shall be deemed to be a forecast, projection or estimate of future performance. Except as required by the rules of the UK Listing Authority and the London Stock Exchange (and applicable law), Georgia Capital PLC undertakes no obligation to update publicly or revise the content of this announcement, whether </w:t>
      </w:r>
      <w:proofErr w:type="gramStart"/>
      <w:r>
        <w:rPr>
          <w:rFonts w:ascii="Times New Roman" w:eastAsia="Calibri" w:hAnsi="Times New Roman" w:cs="Times New Roman"/>
          <w:sz w:val="20"/>
          <w:szCs w:val="20"/>
          <w:lang w:val="en-GB"/>
        </w:rPr>
        <w:t>as a result of</w:t>
      </w:r>
      <w:proofErr w:type="gramEnd"/>
      <w:r>
        <w:rPr>
          <w:rFonts w:ascii="Times New Roman" w:eastAsia="Calibri" w:hAnsi="Times New Roman" w:cs="Times New Roman"/>
          <w:sz w:val="20"/>
          <w:szCs w:val="20"/>
          <w:lang w:val="en-GB"/>
        </w:rPr>
        <w:t xml:space="preserve"> new information, future events or otherwise. </w:t>
      </w:r>
    </w:p>
    <w:p w:rsidR="00317F9F" w:rsidRPr="00CB71E5" w:rsidRDefault="00F44AE5" w:rsidP="00317F9F">
      <w:pPr>
        <w:spacing w:before="100" w:beforeAutospacing="1" w:after="100" w:afterAutospacing="1" w:line="240" w:lineRule="auto"/>
        <w:jc w:val="both"/>
        <w:rPr>
          <w:rFonts w:ascii="Times New Roman" w:eastAsia="Times New Roman" w:hAnsi="Times New Roman" w:cs="Times New Roman"/>
          <w:sz w:val="20"/>
          <w:szCs w:val="20"/>
          <w:lang w:val="en"/>
        </w:rPr>
      </w:pPr>
      <w:r w:rsidRPr="00CB71E5">
        <w:rPr>
          <w:rFonts w:ascii="Times New Roman" w:eastAsia="Times New Roman" w:hAnsi="Times New Roman" w:cs="Times New Roman"/>
          <w:sz w:val="20"/>
          <w:szCs w:val="20"/>
          <w:lang w:val="en"/>
        </w:rPr>
        <w:t xml:space="preserve">Name of </w:t>
      </w:r>
      <w:proofErr w:type="spellStart"/>
      <w:r w:rsidRPr="00CB71E5">
        <w:rPr>
          <w:rFonts w:ascii="Times New Roman" w:eastAsia="Times New Roman" w:hAnsi="Times New Roman" w:cs="Times New Roman"/>
          <w:sz w:val="20"/>
          <w:szCs w:val="20"/>
          <w:lang w:val="en"/>
        </w:rPr>
        <w:t>authorised</w:t>
      </w:r>
      <w:proofErr w:type="spellEnd"/>
      <w:r w:rsidRPr="00CB71E5">
        <w:rPr>
          <w:rFonts w:ascii="Times New Roman" w:eastAsia="Times New Roman" w:hAnsi="Times New Roman" w:cs="Times New Roman"/>
          <w:sz w:val="20"/>
          <w:szCs w:val="20"/>
          <w:lang w:val="en"/>
        </w:rPr>
        <w:t xml:space="preserve"> official of issuer respon</w:t>
      </w:r>
      <w:r w:rsidR="00943C7B">
        <w:rPr>
          <w:rFonts w:ascii="Times New Roman" w:eastAsia="Times New Roman" w:hAnsi="Times New Roman" w:cs="Times New Roman"/>
          <w:sz w:val="20"/>
          <w:szCs w:val="20"/>
          <w:lang w:val="en"/>
        </w:rPr>
        <w:t xml:space="preserve">sible for making notification: </w:t>
      </w:r>
      <w:r w:rsidR="00317F9F" w:rsidRPr="00CB71E5">
        <w:rPr>
          <w:rFonts w:ascii="Times New Roman" w:eastAsia="Times New Roman" w:hAnsi="Times New Roman" w:cs="Times New Roman"/>
          <w:sz w:val="20"/>
          <w:szCs w:val="20"/>
          <w:lang w:val="en"/>
        </w:rPr>
        <w:t>Nino Rekhviashvili</w:t>
      </w:r>
      <w:r w:rsidRPr="00CB71E5">
        <w:rPr>
          <w:rFonts w:ascii="Times New Roman" w:eastAsia="Times New Roman" w:hAnsi="Times New Roman" w:cs="Times New Roman"/>
          <w:sz w:val="20"/>
          <w:szCs w:val="20"/>
          <w:lang w:val="en"/>
        </w:rPr>
        <w:t xml:space="preserve">, </w:t>
      </w:r>
      <w:r w:rsidR="00317F9F" w:rsidRPr="00CB71E5">
        <w:rPr>
          <w:rFonts w:ascii="Times New Roman" w:eastAsia="Times New Roman" w:hAnsi="Times New Roman" w:cs="Times New Roman"/>
          <w:sz w:val="20"/>
          <w:szCs w:val="20"/>
          <w:lang w:val="en"/>
        </w:rPr>
        <w:t xml:space="preserve">Head of Investor Relations and Funding </w:t>
      </w:r>
    </w:p>
    <w:p w:rsidR="00A905D1" w:rsidRDefault="00A905D1" w:rsidP="00CB71E5">
      <w:pPr>
        <w:spacing w:after="0" w:line="240" w:lineRule="auto"/>
        <w:jc w:val="both"/>
        <w:rPr>
          <w:rFonts w:ascii="Times New Roman" w:hAnsi="Times New Roman"/>
          <w:b/>
          <w:bCs/>
          <w:color w:val="0D0D0D"/>
          <w:sz w:val="14"/>
          <w:szCs w:val="14"/>
          <w:lang w:val="en-GB" w:eastAsia="en-GB"/>
        </w:rPr>
      </w:pPr>
    </w:p>
    <w:p w:rsidR="00A905D1" w:rsidRDefault="00A905D1" w:rsidP="00CB71E5">
      <w:pPr>
        <w:spacing w:after="0" w:line="240" w:lineRule="auto"/>
        <w:jc w:val="both"/>
        <w:rPr>
          <w:rFonts w:ascii="Times New Roman" w:hAnsi="Times New Roman"/>
          <w:b/>
          <w:bCs/>
          <w:color w:val="0D0D0D"/>
          <w:sz w:val="14"/>
          <w:szCs w:val="14"/>
          <w:lang w:val="en-GB" w:eastAsia="en-GB"/>
        </w:rPr>
      </w:pPr>
    </w:p>
    <w:p w:rsidR="00A905D1" w:rsidRDefault="00A905D1" w:rsidP="00CB71E5">
      <w:pPr>
        <w:spacing w:after="0" w:line="240" w:lineRule="auto"/>
        <w:jc w:val="both"/>
        <w:rPr>
          <w:rFonts w:ascii="Times New Roman" w:hAnsi="Times New Roman"/>
          <w:b/>
          <w:bCs/>
          <w:color w:val="0D0D0D"/>
          <w:sz w:val="14"/>
          <w:szCs w:val="14"/>
          <w:lang w:val="en-GB" w:eastAsia="en-GB"/>
        </w:rPr>
      </w:pPr>
    </w:p>
    <w:p w:rsidR="00A905D1" w:rsidRDefault="00A905D1" w:rsidP="00CB71E5">
      <w:pPr>
        <w:spacing w:after="0" w:line="240" w:lineRule="auto"/>
        <w:jc w:val="both"/>
        <w:rPr>
          <w:rFonts w:ascii="Times New Roman" w:hAnsi="Times New Roman"/>
          <w:b/>
          <w:bCs/>
          <w:color w:val="0D0D0D"/>
          <w:sz w:val="14"/>
          <w:szCs w:val="14"/>
          <w:lang w:val="en-GB" w:eastAsia="en-GB"/>
        </w:rPr>
      </w:pPr>
    </w:p>
    <w:p w:rsidR="00A905D1" w:rsidRDefault="00A905D1" w:rsidP="00CB71E5">
      <w:pPr>
        <w:spacing w:after="0" w:line="240" w:lineRule="auto"/>
        <w:jc w:val="both"/>
        <w:rPr>
          <w:rFonts w:ascii="Times New Roman" w:hAnsi="Times New Roman"/>
          <w:b/>
          <w:bCs/>
          <w:color w:val="0D0D0D"/>
          <w:sz w:val="14"/>
          <w:szCs w:val="14"/>
          <w:lang w:val="en-GB" w:eastAsia="en-GB"/>
        </w:rPr>
      </w:pPr>
    </w:p>
    <w:p w:rsidR="00A905D1" w:rsidRDefault="00A905D1" w:rsidP="00CB71E5">
      <w:pPr>
        <w:spacing w:after="0" w:line="240" w:lineRule="auto"/>
        <w:jc w:val="both"/>
        <w:rPr>
          <w:rFonts w:ascii="Times New Roman" w:hAnsi="Times New Roman"/>
          <w:b/>
          <w:bCs/>
          <w:color w:val="0D0D0D"/>
          <w:sz w:val="14"/>
          <w:szCs w:val="14"/>
          <w:lang w:val="en-GB" w:eastAsia="en-GB"/>
        </w:rPr>
      </w:pPr>
    </w:p>
    <w:p w:rsidR="00A905D1" w:rsidRDefault="00A905D1" w:rsidP="00CB71E5">
      <w:pPr>
        <w:spacing w:after="0" w:line="240" w:lineRule="auto"/>
        <w:jc w:val="both"/>
        <w:rPr>
          <w:rFonts w:ascii="Times New Roman" w:hAnsi="Times New Roman"/>
          <w:b/>
          <w:bCs/>
          <w:color w:val="0D0D0D"/>
          <w:sz w:val="14"/>
          <w:szCs w:val="14"/>
          <w:lang w:val="en-GB" w:eastAsia="en-GB"/>
        </w:rPr>
      </w:pPr>
    </w:p>
    <w:p w:rsidR="00A905D1" w:rsidRDefault="00A905D1" w:rsidP="00CB71E5">
      <w:pPr>
        <w:spacing w:after="0" w:line="240" w:lineRule="auto"/>
        <w:jc w:val="both"/>
        <w:rPr>
          <w:rFonts w:ascii="Times New Roman" w:hAnsi="Times New Roman"/>
          <w:b/>
          <w:bCs/>
          <w:color w:val="0D0D0D"/>
          <w:sz w:val="14"/>
          <w:szCs w:val="14"/>
          <w:lang w:val="en-GB" w:eastAsia="en-GB"/>
        </w:rPr>
      </w:pPr>
    </w:p>
    <w:p w:rsidR="00CB71E5" w:rsidRDefault="00F44AE5" w:rsidP="00CB71E5">
      <w:pPr>
        <w:spacing w:after="0" w:line="240" w:lineRule="auto"/>
        <w:jc w:val="both"/>
        <w:rPr>
          <w:rFonts w:ascii="Times New Roman" w:hAnsi="Times New Roman"/>
          <w:sz w:val="14"/>
          <w:szCs w:val="14"/>
          <w:lang w:val="en-GB" w:eastAsia="en-GB"/>
        </w:rPr>
      </w:pPr>
      <w:r w:rsidRPr="007F4BA3">
        <w:rPr>
          <w:rFonts w:ascii="Times New Roman" w:hAnsi="Times New Roman"/>
          <w:b/>
          <w:bCs/>
          <w:color w:val="0D0D0D"/>
          <w:sz w:val="14"/>
          <w:szCs w:val="14"/>
          <w:lang w:val="en-GB" w:eastAsia="en-GB"/>
        </w:rPr>
        <w:t xml:space="preserve">About </w:t>
      </w:r>
      <w:r w:rsidR="00317F9F">
        <w:rPr>
          <w:rFonts w:ascii="Times New Roman" w:hAnsi="Times New Roman"/>
          <w:b/>
          <w:bCs/>
          <w:color w:val="0D0D0D"/>
          <w:sz w:val="14"/>
          <w:szCs w:val="14"/>
          <w:lang w:val="en-GB" w:eastAsia="en-GB"/>
        </w:rPr>
        <w:t>Georgia Capital</w:t>
      </w:r>
      <w:r w:rsidRPr="007F4BA3">
        <w:rPr>
          <w:rFonts w:ascii="Times New Roman" w:hAnsi="Times New Roman"/>
          <w:b/>
          <w:bCs/>
          <w:color w:val="0D0D0D"/>
          <w:sz w:val="14"/>
          <w:szCs w:val="14"/>
          <w:lang w:val="en-GB" w:eastAsia="en-GB"/>
        </w:rPr>
        <w:t xml:space="preserve"> PLC</w:t>
      </w:r>
    </w:p>
    <w:p w:rsidR="00317F9F" w:rsidRPr="00CB71E5" w:rsidRDefault="00317F9F" w:rsidP="00CB71E5">
      <w:pPr>
        <w:spacing w:after="0" w:line="240" w:lineRule="auto"/>
        <w:jc w:val="both"/>
        <w:rPr>
          <w:rFonts w:ascii="Times New Roman" w:hAnsi="Times New Roman"/>
          <w:sz w:val="14"/>
          <w:szCs w:val="14"/>
          <w:lang w:val="en-GB" w:eastAsia="en-GB"/>
        </w:rPr>
      </w:pPr>
      <w:r w:rsidRPr="00317F9F">
        <w:rPr>
          <w:rFonts w:ascii="Times New Roman" w:hAnsi="Times New Roman"/>
          <w:b/>
          <w:bCs/>
          <w:sz w:val="14"/>
          <w:szCs w:val="14"/>
          <w:lang w:val="en-GB" w:eastAsia="en-GB"/>
        </w:rPr>
        <w:t xml:space="preserve">Georgia Capital </w:t>
      </w:r>
      <w:r w:rsidRPr="00CB71E5">
        <w:rPr>
          <w:rFonts w:ascii="Times New Roman" w:hAnsi="Times New Roman"/>
          <w:b/>
          <w:bCs/>
          <w:color w:val="808080"/>
          <w:sz w:val="14"/>
          <w:szCs w:val="14"/>
          <w:lang w:val="en-GB" w:eastAsia="en-GB"/>
        </w:rPr>
        <w:t>is the holding company of a diversified group focused on investing in and developing businesses in Georgia with holdings in sectors that are expected to benefit from the continued growth and further diversification of the Georgian economy, the opening of the Georgian economy to Europe and economic development in the wider region. The Group seeks to capture growth in the sectors in which it currently operates and drive the development of new high-growth businesses in Georgia, which it intends to add either by acquiring businesses in their early development stage or by establishing greenfield businesses, often consolidating fragmented or underdeveloped markets. The Group currently has four key portfolio companies: (</w:t>
      </w:r>
      <w:proofErr w:type="spellStart"/>
      <w:r w:rsidRPr="00CB71E5">
        <w:rPr>
          <w:rFonts w:ascii="Times New Roman" w:hAnsi="Times New Roman"/>
          <w:b/>
          <w:bCs/>
          <w:color w:val="808080"/>
          <w:sz w:val="14"/>
          <w:szCs w:val="14"/>
          <w:lang w:val="en-GB" w:eastAsia="en-GB"/>
        </w:rPr>
        <w:t>i</w:t>
      </w:r>
      <w:proofErr w:type="spellEnd"/>
      <w:r w:rsidRPr="00CB71E5">
        <w:rPr>
          <w:rFonts w:ascii="Times New Roman" w:hAnsi="Times New Roman"/>
          <w:b/>
          <w:bCs/>
          <w:color w:val="808080"/>
          <w:sz w:val="14"/>
          <w:szCs w:val="14"/>
          <w:lang w:val="en-GB" w:eastAsia="en-GB"/>
        </w:rPr>
        <w:t>) GGU, a water utility and renewable energy business; (ii) m</w:t>
      </w:r>
      <w:r w:rsidRPr="00CB71E5">
        <w:rPr>
          <w:rFonts w:ascii="Times New Roman" w:hAnsi="Times New Roman"/>
          <w:b/>
          <w:bCs/>
          <w:color w:val="808080"/>
          <w:sz w:val="14"/>
          <w:szCs w:val="14"/>
          <w:vertAlign w:val="superscript"/>
          <w:lang w:val="en-GB" w:eastAsia="en-GB"/>
        </w:rPr>
        <w:t>2</w:t>
      </w:r>
      <w:r w:rsidRPr="00CB71E5">
        <w:rPr>
          <w:rFonts w:ascii="Times New Roman" w:hAnsi="Times New Roman"/>
          <w:b/>
          <w:bCs/>
          <w:color w:val="808080"/>
          <w:sz w:val="14"/>
          <w:szCs w:val="14"/>
          <w:lang w:val="en-GB" w:eastAsia="en-GB"/>
        </w:rPr>
        <w:t xml:space="preserve"> , a residential and commercial property developer; (iii) Aldagi, the foremost provider of property and casualty insurance products in Georgia; and (iv) Teliani, a leading wine and beer producer in Georgia. </w:t>
      </w:r>
    </w:p>
    <w:p w:rsidR="00CB71E5" w:rsidRPr="00CB71E5" w:rsidRDefault="00317F9F" w:rsidP="00317F9F">
      <w:pPr>
        <w:spacing w:after="0" w:line="240" w:lineRule="auto"/>
        <w:jc w:val="both"/>
        <w:rPr>
          <w:rFonts w:ascii="Times New Roman" w:hAnsi="Times New Roman"/>
          <w:b/>
          <w:bCs/>
          <w:color w:val="808080"/>
          <w:sz w:val="14"/>
          <w:szCs w:val="14"/>
          <w:lang w:val="en-GB" w:eastAsia="en-GB"/>
        </w:rPr>
      </w:pPr>
      <w:r w:rsidRPr="00CB71E5">
        <w:rPr>
          <w:rFonts w:ascii="Times New Roman" w:hAnsi="Times New Roman"/>
          <w:b/>
          <w:bCs/>
          <w:color w:val="808080"/>
          <w:sz w:val="14"/>
          <w:szCs w:val="14"/>
          <w:lang w:val="en-GB" w:eastAsia="en-GB"/>
        </w:rPr>
        <w:t xml:space="preserve">In addition to its portfolio companies, the Company has significant investments in two businesses of the former BGEO Group: GHG, (57% stake), the London Stock Exchange premium-listed parent company of the largest and diversified healthcare provider </w:t>
      </w:r>
      <w:r w:rsidRPr="009A31C2">
        <w:rPr>
          <w:rFonts w:ascii="Times New Roman" w:hAnsi="Times New Roman"/>
          <w:b/>
          <w:bCs/>
          <w:color w:val="808080"/>
          <w:sz w:val="14"/>
          <w:szCs w:val="14"/>
          <w:lang w:val="en-GB" w:eastAsia="en-GB"/>
        </w:rPr>
        <w:t>in Georgia, which operates in the healthcare services, pharmacy and med</w:t>
      </w:r>
      <w:r w:rsidR="0081772C" w:rsidRPr="009A31C2">
        <w:rPr>
          <w:rFonts w:ascii="Times New Roman" w:hAnsi="Times New Roman"/>
          <w:b/>
          <w:bCs/>
          <w:color w:val="808080"/>
          <w:sz w:val="14"/>
          <w:szCs w:val="14"/>
          <w:lang w:val="en-GB" w:eastAsia="en-GB"/>
        </w:rPr>
        <w:t xml:space="preserve">ical insurance sectors; and </w:t>
      </w:r>
      <w:bookmarkStart w:id="1" w:name="_Hlk515326622"/>
      <w:r w:rsidRPr="009A31C2">
        <w:rPr>
          <w:rFonts w:ascii="Times New Roman" w:hAnsi="Times New Roman"/>
          <w:b/>
          <w:bCs/>
          <w:color w:val="808080"/>
          <w:sz w:val="14"/>
          <w:szCs w:val="14"/>
          <w:lang w:val="en-GB" w:eastAsia="en-GB"/>
        </w:rPr>
        <w:t xml:space="preserve">Bank of Georgia </w:t>
      </w:r>
      <w:r w:rsidR="0081772C" w:rsidRPr="009A31C2">
        <w:rPr>
          <w:rFonts w:ascii="Times New Roman" w:hAnsi="Times New Roman"/>
          <w:b/>
          <w:bCs/>
          <w:color w:val="808080"/>
          <w:sz w:val="14"/>
          <w:szCs w:val="14"/>
          <w:lang w:val="en-GB" w:eastAsia="en-GB"/>
        </w:rPr>
        <w:t xml:space="preserve">Group PLC </w:t>
      </w:r>
      <w:r w:rsidRPr="009A31C2">
        <w:rPr>
          <w:rFonts w:ascii="Times New Roman" w:hAnsi="Times New Roman"/>
          <w:b/>
          <w:bCs/>
          <w:color w:val="808080"/>
          <w:sz w:val="14"/>
          <w:szCs w:val="14"/>
          <w:lang w:val="en-GB" w:eastAsia="en-GB"/>
        </w:rPr>
        <w:t>(the ‘‘Bank</w:t>
      </w:r>
      <w:r w:rsidR="0081772C" w:rsidRPr="009A31C2">
        <w:rPr>
          <w:rFonts w:ascii="Times New Roman" w:hAnsi="Times New Roman"/>
          <w:b/>
          <w:bCs/>
          <w:color w:val="808080"/>
          <w:sz w:val="14"/>
          <w:szCs w:val="14"/>
          <w:lang w:val="en-GB" w:eastAsia="en-GB"/>
        </w:rPr>
        <w:t>ing business</w:t>
      </w:r>
      <w:r w:rsidRPr="009A31C2">
        <w:rPr>
          <w:rFonts w:ascii="Times New Roman" w:hAnsi="Times New Roman"/>
          <w:b/>
          <w:bCs/>
          <w:color w:val="808080"/>
          <w:sz w:val="14"/>
          <w:szCs w:val="14"/>
          <w:lang w:val="en-GB" w:eastAsia="en-GB"/>
        </w:rPr>
        <w:t xml:space="preserve">’’), (19.9% stake), </w:t>
      </w:r>
      <w:r w:rsidR="007319D9" w:rsidRPr="009A31C2">
        <w:rPr>
          <w:rFonts w:ascii="Times New Roman" w:hAnsi="Times New Roman"/>
          <w:b/>
          <w:bCs/>
          <w:color w:val="808080"/>
          <w:sz w:val="14"/>
          <w:szCs w:val="14"/>
          <w:lang w:val="en-GB" w:eastAsia="en-GB"/>
        </w:rPr>
        <w:t>leading universal Bank in Georgia</w:t>
      </w:r>
      <w:r w:rsidR="009A31C2" w:rsidRPr="009A31C2">
        <w:rPr>
          <w:rFonts w:ascii="Times New Roman" w:hAnsi="Times New Roman"/>
          <w:b/>
          <w:bCs/>
          <w:color w:val="808080"/>
          <w:sz w:val="14"/>
          <w:szCs w:val="14"/>
          <w:lang w:val="en-GB" w:eastAsia="en-GB"/>
        </w:rPr>
        <w:t xml:space="preserve">. </w:t>
      </w:r>
      <w:bookmarkEnd w:id="1"/>
    </w:p>
    <w:p w:rsidR="00F44AE5" w:rsidRPr="007F4BA3" w:rsidRDefault="00F44AE5" w:rsidP="00317F9F">
      <w:pPr>
        <w:spacing w:after="0" w:line="240" w:lineRule="auto"/>
        <w:jc w:val="both"/>
        <w:rPr>
          <w:rFonts w:ascii="Times New Roman" w:hAnsi="Times New Roman"/>
          <w:sz w:val="14"/>
          <w:szCs w:val="14"/>
          <w:lang w:val="en-GB" w:eastAsia="en-GB"/>
        </w:rPr>
      </w:pPr>
    </w:p>
    <w:tbl>
      <w:tblPr>
        <w:tblW w:w="4682" w:type="dxa"/>
        <w:tblInd w:w="108" w:type="dxa"/>
        <w:tblCellMar>
          <w:left w:w="0" w:type="dxa"/>
          <w:right w:w="0" w:type="dxa"/>
        </w:tblCellMar>
        <w:tblLook w:val="04A0" w:firstRow="1" w:lastRow="0" w:firstColumn="1" w:lastColumn="0" w:noHBand="0" w:noVBand="1"/>
      </w:tblPr>
      <w:tblGrid>
        <w:gridCol w:w="2448"/>
        <w:gridCol w:w="2234"/>
      </w:tblGrid>
      <w:tr w:rsidR="00CB71E5" w:rsidRPr="007F4BA3" w:rsidTr="00CB71E5">
        <w:trPr>
          <w:trHeight w:val="171"/>
        </w:trPr>
        <w:tc>
          <w:tcPr>
            <w:tcW w:w="4682" w:type="dxa"/>
            <w:gridSpan w:val="2"/>
            <w:tcMar>
              <w:top w:w="0" w:type="dxa"/>
              <w:left w:w="108" w:type="dxa"/>
              <w:bottom w:w="0" w:type="dxa"/>
              <w:right w:w="108" w:type="dxa"/>
            </w:tcMar>
            <w:hideMark/>
          </w:tcPr>
          <w:p w:rsidR="00CB71E5" w:rsidRPr="007F4BA3" w:rsidRDefault="00CB71E5" w:rsidP="00CB71E5">
            <w:pPr>
              <w:spacing w:after="0" w:line="240" w:lineRule="auto"/>
              <w:ind w:hanging="108"/>
              <w:jc w:val="both"/>
              <w:rPr>
                <w:rFonts w:ascii="Times New Roman" w:hAnsi="Times New Roman"/>
                <w:color w:val="000000"/>
                <w:sz w:val="14"/>
                <w:szCs w:val="14"/>
                <w:lang w:val="en-GB" w:eastAsia="en-GB"/>
              </w:rPr>
            </w:pPr>
            <w:r w:rsidRPr="007F4BA3">
              <w:rPr>
                <w:rFonts w:ascii="Times New Roman" w:hAnsi="Times New Roman"/>
                <w:b/>
                <w:bCs/>
                <w:color w:val="808080"/>
                <w:sz w:val="14"/>
                <w:szCs w:val="14"/>
                <w:lang w:val="en-GB" w:eastAsia="en-GB"/>
              </w:rPr>
              <w:t xml:space="preserve">JSC </w:t>
            </w:r>
            <w:r>
              <w:rPr>
                <w:rFonts w:ascii="Times New Roman" w:hAnsi="Times New Roman"/>
                <w:b/>
                <w:bCs/>
                <w:color w:val="808080"/>
                <w:sz w:val="14"/>
                <w:szCs w:val="14"/>
                <w:lang w:val="en-GB" w:eastAsia="en-GB"/>
              </w:rPr>
              <w:t xml:space="preserve">Georgia Capital </w:t>
            </w:r>
            <w:r w:rsidRPr="007F4BA3">
              <w:rPr>
                <w:rFonts w:ascii="Times New Roman" w:hAnsi="Times New Roman"/>
                <w:b/>
                <w:bCs/>
                <w:color w:val="808080"/>
                <w:sz w:val="14"/>
                <w:szCs w:val="14"/>
                <w:lang w:val="en-GB" w:eastAsia="en-GB"/>
              </w:rPr>
              <w:t>has, as of the date hereof, the following credit ratings:</w:t>
            </w:r>
          </w:p>
        </w:tc>
      </w:tr>
      <w:tr w:rsidR="00CB71E5" w:rsidRPr="007F4BA3" w:rsidTr="00CB71E5">
        <w:trPr>
          <w:trHeight w:val="99"/>
        </w:trPr>
        <w:tc>
          <w:tcPr>
            <w:tcW w:w="2448" w:type="dxa"/>
            <w:tcMar>
              <w:top w:w="0" w:type="dxa"/>
              <w:left w:w="108" w:type="dxa"/>
              <w:bottom w:w="0" w:type="dxa"/>
              <w:right w:w="108" w:type="dxa"/>
            </w:tcMar>
            <w:hideMark/>
          </w:tcPr>
          <w:p w:rsidR="00CB71E5" w:rsidRPr="007F4BA3" w:rsidRDefault="00CB71E5" w:rsidP="00543E84">
            <w:pPr>
              <w:spacing w:after="0" w:line="240" w:lineRule="auto"/>
              <w:ind w:left="360"/>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 </w:t>
            </w:r>
          </w:p>
        </w:tc>
        <w:tc>
          <w:tcPr>
            <w:tcW w:w="2234" w:type="dxa"/>
            <w:tcMar>
              <w:top w:w="0" w:type="dxa"/>
              <w:left w:w="108" w:type="dxa"/>
              <w:bottom w:w="0" w:type="dxa"/>
              <w:right w:w="108" w:type="dxa"/>
            </w:tcMar>
            <w:hideMark/>
          </w:tcPr>
          <w:p w:rsidR="00CB71E5" w:rsidRPr="007F4BA3" w:rsidRDefault="00CB71E5" w:rsidP="00543E84">
            <w:pPr>
              <w:spacing w:after="0" w:line="240" w:lineRule="auto"/>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 </w:t>
            </w:r>
          </w:p>
        </w:tc>
      </w:tr>
      <w:tr w:rsidR="00CB71E5" w:rsidRPr="007F4BA3" w:rsidTr="00CB71E5">
        <w:trPr>
          <w:trHeight w:val="117"/>
        </w:trPr>
        <w:tc>
          <w:tcPr>
            <w:tcW w:w="2448" w:type="dxa"/>
            <w:tcMar>
              <w:top w:w="0" w:type="dxa"/>
              <w:left w:w="108" w:type="dxa"/>
              <w:bottom w:w="0" w:type="dxa"/>
              <w:right w:w="108" w:type="dxa"/>
            </w:tcMar>
            <w:hideMark/>
          </w:tcPr>
          <w:p w:rsidR="00CB71E5" w:rsidRPr="007F4BA3" w:rsidRDefault="00CB71E5" w:rsidP="00CB71E5">
            <w:pPr>
              <w:spacing w:after="0" w:line="240" w:lineRule="auto"/>
              <w:ind w:left="360"/>
              <w:jc w:val="both"/>
              <w:rPr>
                <w:rFonts w:ascii="Times New Roman" w:hAnsi="Times New Roman"/>
                <w:color w:val="000000"/>
                <w:sz w:val="14"/>
                <w:szCs w:val="14"/>
                <w:lang w:val="en-GB" w:eastAsia="en-GB"/>
              </w:rPr>
            </w:pPr>
            <w:r>
              <w:rPr>
                <w:rFonts w:ascii="Times New Roman" w:hAnsi="Times New Roman"/>
                <w:color w:val="808080"/>
                <w:sz w:val="14"/>
                <w:szCs w:val="14"/>
                <w:lang w:val="en-GB" w:eastAsia="en-GB"/>
              </w:rPr>
              <w:t>S&amp;P</w:t>
            </w:r>
            <w:r w:rsidR="007236A7">
              <w:rPr>
                <w:rFonts w:ascii="Times New Roman" w:hAnsi="Times New Roman"/>
                <w:color w:val="808080"/>
                <w:sz w:val="14"/>
                <w:szCs w:val="14"/>
                <w:lang w:val="en-GB" w:eastAsia="en-GB"/>
              </w:rPr>
              <w:t xml:space="preserve"> Global</w:t>
            </w:r>
            <w:r w:rsidRPr="007F4BA3">
              <w:rPr>
                <w:rFonts w:ascii="Times New Roman" w:hAnsi="Times New Roman"/>
                <w:color w:val="808080"/>
                <w:sz w:val="14"/>
                <w:szCs w:val="14"/>
                <w:lang w:val="en-GB" w:eastAsia="en-GB"/>
              </w:rPr>
              <w:t xml:space="preserve"> </w:t>
            </w:r>
          </w:p>
        </w:tc>
        <w:tc>
          <w:tcPr>
            <w:tcW w:w="2234" w:type="dxa"/>
            <w:tcMar>
              <w:top w:w="0" w:type="dxa"/>
              <w:left w:w="108" w:type="dxa"/>
              <w:bottom w:w="0" w:type="dxa"/>
              <w:right w:w="108" w:type="dxa"/>
            </w:tcMar>
            <w:hideMark/>
          </w:tcPr>
          <w:p w:rsidR="00CB71E5" w:rsidRPr="007F4BA3" w:rsidRDefault="00CB71E5" w:rsidP="00543E84">
            <w:pPr>
              <w:spacing w:after="0" w:line="240" w:lineRule="auto"/>
              <w:jc w:val="both"/>
              <w:rPr>
                <w:rFonts w:ascii="Times New Roman" w:hAnsi="Times New Roman"/>
                <w:color w:val="000000"/>
                <w:sz w:val="14"/>
                <w:szCs w:val="14"/>
                <w:lang w:val="en-GB" w:eastAsia="en-GB"/>
              </w:rPr>
            </w:pPr>
            <w:r>
              <w:rPr>
                <w:rFonts w:ascii="Times New Roman" w:hAnsi="Times New Roman"/>
                <w:color w:val="808080"/>
                <w:sz w:val="14"/>
                <w:szCs w:val="14"/>
                <w:lang w:val="en-GB" w:eastAsia="en-GB"/>
              </w:rPr>
              <w:t>‘B+</w:t>
            </w:r>
            <w:r w:rsidRPr="007F4BA3">
              <w:rPr>
                <w:rFonts w:ascii="Times New Roman" w:hAnsi="Times New Roman"/>
                <w:color w:val="808080"/>
                <w:sz w:val="14"/>
                <w:szCs w:val="14"/>
                <w:lang w:val="en-GB" w:eastAsia="en-GB"/>
              </w:rPr>
              <w:t>’</w:t>
            </w:r>
            <w:r w:rsidR="007A6A30">
              <w:rPr>
                <w:rFonts w:ascii="Times New Roman" w:hAnsi="Times New Roman"/>
                <w:color w:val="808080"/>
                <w:sz w:val="14"/>
                <w:szCs w:val="14"/>
                <w:lang w:val="en-GB" w:eastAsia="en-GB"/>
              </w:rPr>
              <w:t>/FC &amp; ‘B+’/LC</w:t>
            </w:r>
          </w:p>
        </w:tc>
      </w:tr>
      <w:tr w:rsidR="00CB71E5" w:rsidRPr="007F4BA3" w:rsidTr="00CB71E5">
        <w:trPr>
          <w:trHeight w:val="240"/>
        </w:trPr>
        <w:tc>
          <w:tcPr>
            <w:tcW w:w="2448" w:type="dxa"/>
            <w:tcMar>
              <w:top w:w="0" w:type="dxa"/>
              <w:left w:w="108" w:type="dxa"/>
              <w:bottom w:w="0" w:type="dxa"/>
              <w:right w:w="108" w:type="dxa"/>
            </w:tcMar>
            <w:hideMark/>
          </w:tcPr>
          <w:p w:rsidR="00CB71E5" w:rsidRPr="007F4BA3" w:rsidRDefault="00CB71E5" w:rsidP="00543E84">
            <w:pPr>
              <w:spacing w:after="0" w:line="240" w:lineRule="auto"/>
              <w:ind w:left="360"/>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Moody’s</w:t>
            </w:r>
          </w:p>
        </w:tc>
        <w:tc>
          <w:tcPr>
            <w:tcW w:w="2234" w:type="dxa"/>
            <w:tcMar>
              <w:top w:w="0" w:type="dxa"/>
              <w:left w:w="108" w:type="dxa"/>
              <w:bottom w:w="0" w:type="dxa"/>
              <w:right w:w="108" w:type="dxa"/>
            </w:tcMar>
            <w:hideMark/>
          </w:tcPr>
          <w:p w:rsidR="00CB71E5" w:rsidRPr="007F4BA3" w:rsidRDefault="00CB71E5" w:rsidP="00CB71E5">
            <w:pPr>
              <w:spacing w:after="0" w:line="240" w:lineRule="auto"/>
              <w:jc w:val="both"/>
              <w:rPr>
                <w:rFonts w:ascii="Times New Roman" w:hAnsi="Times New Roman"/>
                <w:color w:val="000000"/>
                <w:sz w:val="14"/>
                <w:szCs w:val="14"/>
                <w:lang w:val="en-GB" w:eastAsia="en-GB"/>
              </w:rPr>
            </w:pPr>
            <w:r>
              <w:rPr>
                <w:rFonts w:ascii="Times New Roman" w:hAnsi="Times New Roman"/>
                <w:color w:val="808080"/>
                <w:sz w:val="14"/>
                <w:szCs w:val="14"/>
                <w:lang w:val="en-GB" w:eastAsia="en-GB"/>
              </w:rPr>
              <w:t>B2</w:t>
            </w:r>
            <w:r w:rsidRPr="007F4BA3">
              <w:rPr>
                <w:rFonts w:ascii="Times New Roman" w:hAnsi="Times New Roman"/>
                <w:color w:val="808080"/>
                <w:sz w:val="14"/>
                <w:szCs w:val="14"/>
                <w:lang w:val="en-GB" w:eastAsia="en-GB"/>
              </w:rPr>
              <w:t>/</w:t>
            </w:r>
            <w:r w:rsidR="00EB4C35">
              <w:rPr>
                <w:rFonts w:ascii="Times New Roman" w:hAnsi="Times New Roman"/>
                <w:color w:val="808080"/>
                <w:sz w:val="14"/>
                <w:szCs w:val="14"/>
                <w:lang w:val="en-GB" w:eastAsia="en-GB"/>
              </w:rPr>
              <w:t>CFR</w:t>
            </w:r>
            <w:r w:rsidR="007236A7">
              <w:rPr>
                <w:rFonts w:ascii="Times New Roman" w:hAnsi="Times New Roman"/>
                <w:color w:val="808080"/>
                <w:sz w:val="14"/>
                <w:szCs w:val="14"/>
                <w:lang w:val="en-GB" w:eastAsia="en-GB"/>
              </w:rPr>
              <w:t xml:space="preserve"> &amp; B2/PDR</w:t>
            </w:r>
          </w:p>
        </w:tc>
      </w:tr>
    </w:tbl>
    <w:p w:rsidR="00F44AE5" w:rsidRPr="007F4BA3" w:rsidRDefault="00F44AE5" w:rsidP="00F44AE5">
      <w:pPr>
        <w:spacing w:after="0" w:line="240" w:lineRule="auto"/>
        <w:ind w:right="689"/>
        <w:jc w:val="both"/>
        <w:rPr>
          <w:rFonts w:ascii="Times New Roman" w:hAnsi="Times New Roman"/>
          <w:sz w:val="14"/>
          <w:szCs w:val="14"/>
          <w:lang w:val="en-GB" w:eastAsia="en-GB"/>
        </w:rPr>
      </w:pPr>
      <w:r w:rsidRPr="007F4BA3">
        <w:rPr>
          <w:rFonts w:ascii="Times New Roman" w:hAnsi="Times New Roman"/>
          <w:b/>
          <w:bCs/>
          <w:color w:val="808080"/>
          <w:sz w:val="14"/>
          <w:szCs w:val="14"/>
          <w:lang w:val="en-GB" w:eastAsia="en-GB"/>
        </w:rPr>
        <w:t> </w:t>
      </w:r>
    </w:p>
    <w:p w:rsidR="00F44AE5" w:rsidRDefault="00F44AE5" w:rsidP="00F44AE5">
      <w:pPr>
        <w:spacing w:after="0" w:line="240" w:lineRule="auto"/>
        <w:ind w:right="689"/>
        <w:jc w:val="both"/>
        <w:rPr>
          <w:rFonts w:ascii="Times New Roman" w:hAnsi="Times New Roman"/>
          <w:color w:val="808080"/>
          <w:sz w:val="14"/>
          <w:szCs w:val="14"/>
          <w:lang w:val="en-GB" w:eastAsia="en-GB"/>
        </w:rPr>
      </w:pPr>
      <w:r w:rsidRPr="0044313F">
        <w:rPr>
          <w:rFonts w:ascii="Times New Roman" w:hAnsi="Times New Roman"/>
          <w:b/>
          <w:bCs/>
          <w:color w:val="808080"/>
          <w:sz w:val="14"/>
          <w:szCs w:val="14"/>
          <w:lang w:val="en-GB" w:eastAsia="en-GB"/>
        </w:rPr>
        <w:t xml:space="preserve">For further information, please visit </w:t>
      </w:r>
      <w:hyperlink r:id="rId6" w:history="1">
        <w:r w:rsidR="00CB71E5" w:rsidRPr="0044313F">
          <w:rPr>
            <w:rStyle w:val="Hyperlink"/>
            <w:rFonts w:ascii="Times New Roman" w:hAnsi="Times New Roman"/>
            <w:sz w:val="14"/>
            <w:szCs w:val="14"/>
            <w:lang w:val="en-GB" w:eastAsia="en-GB"/>
          </w:rPr>
          <w:t>www.georgiacapital.ge</w:t>
        </w:r>
      </w:hyperlink>
      <w:r w:rsidR="00CB71E5" w:rsidRPr="0044313F">
        <w:rPr>
          <w:rFonts w:ascii="Times New Roman" w:hAnsi="Times New Roman"/>
          <w:b/>
          <w:bCs/>
          <w:color w:val="808080"/>
          <w:sz w:val="14"/>
          <w:szCs w:val="14"/>
          <w:lang w:val="en-GB" w:eastAsia="en-GB"/>
        </w:rPr>
        <w:t xml:space="preserve"> </w:t>
      </w:r>
      <w:r w:rsidRPr="0044313F">
        <w:rPr>
          <w:rFonts w:ascii="Times New Roman" w:hAnsi="Times New Roman"/>
          <w:b/>
          <w:bCs/>
          <w:color w:val="808080"/>
          <w:sz w:val="14"/>
          <w:szCs w:val="14"/>
          <w:lang w:val="en-GB" w:eastAsia="en-GB"/>
        </w:rPr>
        <w:t>or</w:t>
      </w:r>
      <w:r w:rsidRPr="007F4BA3">
        <w:rPr>
          <w:rFonts w:ascii="Times New Roman" w:hAnsi="Times New Roman"/>
          <w:b/>
          <w:bCs/>
          <w:color w:val="808080"/>
          <w:sz w:val="14"/>
          <w:szCs w:val="14"/>
          <w:lang w:val="en-GB" w:eastAsia="en-GB"/>
        </w:rPr>
        <w:t xml:space="preserve"> contact:</w:t>
      </w:r>
      <w:r w:rsidRPr="007F4BA3">
        <w:rPr>
          <w:rFonts w:ascii="Times New Roman" w:hAnsi="Times New Roman"/>
          <w:color w:val="808080"/>
          <w:sz w:val="14"/>
          <w:szCs w:val="14"/>
          <w:lang w:val="en-GB" w:eastAsia="en-GB"/>
        </w:rPr>
        <w:t xml:space="preserve"> </w:t>
      </w:r>
    </w:p>
    <w:p w:rsidR="00CB71E5" w:rsidRPr="007F4BA3" w:rsidRDefault="00CB71E5" w:rsidP="00F44AE5">
      <w:pPr>
        <w:spacing w:after="0" w:line="240" w:lineRule="auto"/>
        <w:ind w:right="689"/>
        <w:jc w:val="both"/>
        <w:rPr>
          <w:rFonts w:ascii="Times New Roman" w:hAnsi="Times New Roman"/>
          <w:sz w:val="14"/>
          <w:szCs w:val="14"/>
          <w:lang w:val="en-GB" w:eastAsia="en-GB"/>
        </w:rPr>
      </w:pPr>
    </w:p>
    <w:tbl>
      <w:tblPr>
        <w:tblW w:w="0" w:type="auto"/>
        <w:tblLayout w:type="fixed"/>
        <w:tblCellMar>
          <w:left w:w="0" w:type="dxa"/>
          <w:right w:w="0" w:type="dxa"/>
        </w:tblCellMar>
        <w:tblLook w:val="04A0" w:firstRow="1" w:lastRow="0" w:firstColumn="1" w:lastColumn="0" w:noHBand="0" w:noVBand="1"/>
      </w:tblPr>
      <w:tblGrid>
        <w:gridCol w:w="2304"/>
        <w:gridCol w:w="2304"/>
        <w:gridCol w:w="2304"/>
        <w:gridCol w:w="2304"/>
      </w:tblGrid>
      <w:tr w:rsidR="005159DA" w:rsidRPr="007F4BA3" w:rsidTr="005159DA">
        <w:trPr>
          <w:trHeight w:val="162"/>
        </w:trPr>
        <w:tc>
          <w:tcPr>
            <w:tcW w:w="2304" w:type="dxa"/>
            <w:tcMar>
              <w:top w:w="0" w:type="dxa"/>
              <w:left w:w="108" w:type="dxa"/>
              <w:bottom w:w="0" w:type="dxa"/>
              <w:right w:w="108" w:type="dxa"/>
            </w:tcMar>
            <w:hideMark/>
          </w:tcPr>
          <w:p w:rsidR="005159DA" w:rsidRPr="007F4BA3" w:rsidRDefault="005159DA" w:rsidP="00F631B8">
            <w:pPr>
              <w:spacing w:after="0" w:line="240" w:lineRule="auto"/>
              <w:ind w:left="360" w:right="252"/>
              <w:jc w:val="both"/>
              <w:rPr>
                <w:rFonts w:ascii="Times New Roman" w:hAnsi="Times New Roman"/>
                <w:color w:val="000000"/>
                <w:sz w:val="14"/>
                <w:szCs w:val="14"/>
                <w:lang w:val="en-GB" w:eastAsia="en-GB"/>
              </w:rPr>
            </w:pPr>
            <w:proofErr w:type="spellStart"/>
            <w:r w:rsidRPr="007F4BA3">
              <w:rPr>
                <w:rFonts w:ascii="Times New Roman" w:hAnsi="Times New Roman"/>
                <w:b/>
                <w:bCs/>
                <w:color w:val="0D0D0D"/>
                <w:sz w:val="14"/>
                <w:szCs w:val="14"/>
                <w:lang w:val="en-GB" w:eastAsia="en-GB"/>
              </w:rPr>
              <w:t>Irakli</w:t>
            </w:r>
            <w:proofErr w:type="spellEnd"/>
            <w:r w:rsidRPr="007F4BA3">
              <w:rPr>
                <w:rFonts w:ascii="Times New Roman" w:hAnsi="Times New Roman"/>
                <w:b/>
                <w:bCs/>
                <w:color w:val="0D0D0D"/>
                <w:sz w:val="14"/>
                <w:szCs w:val="14"/>
                <w:lang w:val="en-GB" w:eastAsia="en-GB"/>
              </w:rPr>
              <w:t xml:space="preserve"> </w:t>
            </w:r>
            <w:proofErr w:type="spellStart"/>
            <w:r w:rsidRPr="007F4BA3">
              <w:rPr>
                <w:rFonts w:ascii="Times New Roman" w:hAnsi="Times New Roman"/>
                <w:b/>
                <w:bCs/>
                <w:color w:val="0D0D0D"/>
                <w:sz w:val="14"/>
                <w:szCs w:val="14"/>
                <w:lang w:val="en-GB" w:eastAsia="en-GB"/>
              </w:rPr>
              <w:t>Gilauri</w:t>
            </w:r>
            <w:proofErr w:type="spellEnd"/>
          </w:p>
        </w:tc>
        <w:tc>
          <w:tcPr>
            <w:tcW w:w="2304" w:type="dxa"/>
            <w:tcMar>
              <w:top w:w="0" w:type="dxa"/>
              <w:left w:w="108" w:type="dxa"/>
              <w:bottom w:w="0" w:type="dxa"/>
              <w:right w:w="108" w:type="dxa"/>
            </w:tcMar>
            <w:hideMark/>
          </w:tcPr>
          <w:p w:rsidR="005159DA" w:rsidRPr="007F4BA3" w:rsidRDefault="005159DA" w:rsidP="00F631B8">
            <w:pPr>
              <w:spacing w:after="0" w:line="240" w:lineRule="auto"/>
              <w:ind w:left="360" w:right="252"/>
              <w:jc w:val="both"/>
              <w:rPr>
                <w:rFonts w:ascii="Times New Roman" w:hAnsi="Times New Roman"/>
                <w:color w:val="000000"/>
                <w:sz w:val="14"/>
                <w:szCs w:val="14"/>
                <w:lang w:val="en-GB" w:eastAsia="en-GB"/>
              </w:rPr>
            </w:pPr>
            <w:r w:rsidRPr="007F4BA3">
              <w:rPr>
                <w:rFonts w:ascii="Times New Roman" w:hAnsi="Times New Roman"/>
                <w:b/>
                <w:bCs/>
                <w:color w:val="0D0D0D"/>
                <w:sz w:val="14"/>
                <w:szCs w:val="14"/>
                <w:lang w:val="en-GB" w:eastAsia="en-GB"/>
              </w:rPr>
              <w:t>Michael Oliver</w:t>
            </w:r>
          </w:p>
        </w:tc>
        <w:tc>
          <w:tcPr>
            <w:tcW w:w="2304" w:type="dxa"/>
            <w:tcMar>
              <w:top w:w="0" w:type="dxa"/>
              <w:left w:w="108" w:type="dxa"/>
              <w:bottom w:w="0" w:type="dxa"/>
              <w:right w:w="108" w:type="dxa"/>
            </w:tcMar>
            <w:hideMark/>
          </w:tcPr>
          <w:p w:rsidR="005159DA" w:rsidRPr="007F4BA3" w:rsidRDefault="005159DA" w:rsidP="00F631B8">
            <w:pPr>
              <w:spacing w:after="0" w:line="240" w:lineRule="auto"/>
              <w:ind w:right="252"/>
              <w:jc w:val="both"/>
              <w:rPr>
                <w:rFonts w:ascii="Times New Roman" w:hAnsi="Times New Roman"/>
                <w:color w:val="000000"/>
                <w:sz w:val="14"/>
                <w:szCs w:val="14"/>
                <w:lang w:val="en-GB" w:eastAsia="en-GB"/>
              </w:rPr>
            </w:pPr>
            <w:r w:rsidRPr="007F4BA3">
              <w:rPr>
                <w:rFonts w:ascii="Times New Roman" w:hAnsi="Times New Roman"/>
                <w:b/>
                <w:bCs/>
                <w:color w:val="0D0D0D"/>
                <w:sz w:val="14"/>
                <w:szCs w:val="14"/>
                <w:lang w:val="en-GB" w:eastAsia="en-GB"/>
              </w:rPr>
              <w:t>Giorgi Alpaidze</w:t>
            </w:r>
          </w:p>
        </w:tc>
        <w:tc>
          <w:tcPr>
            <w:tcW w:w="2304" w:type="dxa"/>
          </w:tcPr>
          <w:p w:rsidR="005159DA" w:rsidRPr="007F4BA3" w:rsidRDefault="005159DA" w:rsidP="00F631B8">
            <w:pPr>
              <w:spacing w:after="0" w:line="240" w:lineRule="auto"/>
              <w:ind w:right="252"/>
              <w:jc w:val="both"/>
              <w:rPr>
                <w:rFonts w:ascii="Times New Roman" w:hAnsi="Times New Roman"/>
                <w:color w:val="000000"/>
                <w:sz w:val="14"/>
                <w:szCs w:val="14"/>
                <w:lang w:val="en-GB" w:eastAsia="en-GB"/>
              </w:rPr>
            </w:pPr>
            <w:r>
              <w:rPr>
                <w:rFonts w:ascii="Times New Roman" w:hAnsi="Times New Roman"/>
                <w:b/>
                <w:bCs/>
                <w:color w:val="0D0D0D"/>
                <w:sz w:val="14"/>
                <w:szCs w:val="14"/>
                <w:lang w:val="en-GB" w:eastAsia="en-GB"/>
              </w:rPr>
              <w:t>Nino Rekhviashvili</w:t>
            </w:r>
          </w:p>
        </w:tc>
      </w:tr>
      <w:tr w:rsidR="005159DA" w:rsidRPr="007F4BA3" w:rsidTr="005159DA">
        <w:trPr>
          <w:trHeight w:val="108"/>
        </w:trPr>
        <w:tc>
          <w:tcPr>
            <w:tcW w:w="2304" w:type="dxa"/>
            <w:tcMar>
              <w:top w:w="0" w:type="dxa"/>
              <w:left w:w="108" w:type="dxa"/>
              <w:bottom w:w="0" w:type="dxa"/>
              <w:right w:w="108" w:type="dxa"/>
            </w:tcMar>
            <w:hideMark/>
          </w:tcPr>
          <w:p w:rsidR="005159DA" w:rsidRPr="007F4BA3" w:rsidRDefault="005159DA" w:rsidP="00F631B8">
            <w:pPr>
              <w:spacing w:after="0" w:line="240" w:lineRule="auto"/>
              <w:ind w:left="360"/>
              <w:jc w:val="both"/>
              <w:rPr>
                <w:rFonts w:ascii="Times New Roman" w:hAnsi="Times New Roman"/>
                <w:color w:val="000000"/>
                <w:sz w:val="14"/>
                <w:szCs w:val="14"/>
                <w:lang w:val="en-GB" w:eastAsia="en-GB"/>
              </w:rPr>
            </w:pPr>
            <w:r w:rsidRPr="00CB71E5">
              <w:rPr>
                <w:rFonts w:ascii="Times New Roman" w:hAnsi="Times New Roman"/>
                <w:color w:val="808080"/>
                <w:sz w:val="14"/>
                <w:szCs w:val="14"/>
                <w:lang w:val="en-GB" w:eastAsia="en-GB"/>
              </w:rPr>
              <w:t>Chairman and Chief Executive</w:t>
            </w:r>
          </w:p>
        </w:tc>
        <w:tc>
          <w:tcPr>
            <w:tcW w:w="2304" w:type="dxa"/>
            <w:tcMar>
              <w:top w:w="0" w:type="dxa"/>
              <w:left w:w="108" w:type="dxa"/>
              <w:bottom w:w="0" w:type="dxa"/>
              <w:right w:w="108" w:type="dxa"/>
            </w:tcMar>
            <w:hideMark/>
          </w:tcPr>
          <w:p w:rsidR="005159DA" w:rsidRPr="007F4BA3" w:rsidRDefault="005159DA" w:rsidP="00F631B8">
            <w:pPr>
              <w:spacing w:after="0" w:line="240" w:lineRule="auto"/>
              <w:ind w:left="360"/>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Adviser to the CEO</w:t>
            </w:r>
          </w:p>
        </w:tc>
        <w:tc>
          <w:tcPr>
            <w:tcW w:w="2304" w:type="dxa"/>
            <w:tcMar>
              <w:top w:w="0" w:type="dxa"/>
              <w:left w:w="108" w:type="dxa"/>
              <w:bottom w:w="0" w:type="dxa"/>
              <w:right w:w="108" w:type="dxa"/>
            </w:tcMar>
            <w:hideMark/>
          </w:tcPr>
          <w:p w:rsidR="005159DA" w:rsidRPr="007F4BA3" w:rsidRDefault="005159DA" w:rsidP="00F631B8">
            <w:pPr>
              <w:spacing w:after="0" w:line="240" w:lineRule="auto"/>
              <w:jc w:val="both"/>
              <w:rPr>
                <w:rFonts w:ascii="Times New Roman" w:hAnsi="Times New Roman"/>
                <w:color w:val="000000"/>
                <w:sz w:val="14"/>
                <w:szCs w:val="14"/>
                <w:lang w:val="en-GB" w:eastAsia="en-GB"/>
              </w:rPr>
            </w:pPr>
            <w:r>
              <w:rPr>
                <w:rFonts w:ascii="Times New Roman" w:hAnsi="Times New Roman"/>
                <w:color w:val="808080"/>
                <w:sz w:val="14"/>
                <w:szCs w:val="14"/>
                <w:lang w:val="en-GB" w:eastAsia="en-GB"/>
              </w:rPr>
              <w:t>Chief Financial Officer</w:t>
            </w:r>
          </w:p>
        </w:tc>
        <w:tc>
          <w:tcPr>
            <w:tcW w:w="2304" w:type="dxa"/>
          </w:tcPr>
          <w:p w:rsidR="005159DA" w:rsidRPr="007F4BA3" w:rsidRDefault="005159DA" w:rsidP="00F631B8">
            <w:pPr>
              <w:spacing w:after="0" w:line="240" w:lineRule="auto"/>
              <w:jc w:val="both"/>
              <w:rPr>
                <w:rFonts w:ascii="Times New Roman" w:hAnsi="Times New Roman"/>
                <w:color w:val="000000"/>
                <w:sz w:val="14"/>
                <w:szCs w:val="14"/>
                <w:lang w:val="en-GB" w:eastAsia="en-GB"/>
              </w:rPr>
            </w:pPr>
            <w:r>
              <w:rPr>
                <w:rFonts w:ascii="Times New Roman" w:hAnsi="Times New Roman"/>
                <w:color w:val="808080"/>
                <w:sz w:val="14"/>
                <w:szCs w:val="14"/>
                <w:lang w:val="en-GB" w:eastAsia="en-GB"/>
              </w:rPr>
              <w:t>Head of Investor Relations</w:t>
            </w:r>
          </w:p>
        </w:tc>
      </w:tr>
      <w:tr w:rsidR="005159DA" w:rsidRPr="007F4BA3" w:rsidTr="005159DA">
        <w:tc>
          <w:tcPr>
            <w:tcW w:w="2304" w:type="dxa"/>
            <w:tcMar>
              <w:top w:w="0" w:type="dxa"/>
              <w:left w:w="108" w:type="dxa"/>
              <w:bottom w:w="0" w:type="dxa"/>
              <w:right w:w="108" w:type="dxa"/>
            </w:tcMar>
            <w:hideMark/>
          </w:tcPr>
          <w:p w:rsidR="005159DA" w:rsidRPr="007F4BA3" w:rsidRDefault="005159DA" w:rsidP="00F631B8">
            <w:pPr>
              <w:spacing w:after="0" w:line="240" w:lineRule="auto"/>
              <w:ind w:left="360" w:right="252"/>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+995 322 444 109</w:t>
            </w:r>
          </w:p>
        </w:tc>
        <w:tc>
          <w:tcPr>
            <w:tcW w:w="2304" w:type="dxa"/>
            <w:tcMar>
              <w:top w:w="0" w:type="dxa"/>
              <w:left w:w="108" w:type="dxa"/>
              <w:bottom w:w="0" w:type="dxa"/>
              <w:right w:w="108" w:type="dxa"/>
            </w:tcMar>
            <w:hideMark/>
          </w:tcPr>
          <w:p w:rsidR="005159DA" w:rsidRPr="007F4BA3" w:rsidRDefault="005159DA" w:rsidP="00F631B8">
            <w:pPr>
              <w:spacing w:after="0" w:line="240" w:lineRule="auto"/>
              <w:ind w:right="252"/>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          +44 203 178 4034</w:t>
            </w:r>
          </w:p>
        </w:tc>
        <w:tc>
          <w:tcPr>
            <w:tcW w:w="2304" w:type="dxa"/>
            <w:tcMar>
              <w:top w:w="0" w:type="dxa"/>
              <w:left w:w="108" w:type="dxa"/>
              <w:bottom w:w="0" w:type="dxa"/>
              <w:right w:w="108" w:type="dxa"/>
            </w:tcMar>
            <w:hideMark/>
          </w:tcPr>
          <w:p w:rsidR="005159DA" w:rsidRPr="007F4BA3" w:rsidRDefault="005159DA" w:rsidP="00F631B8">
            <w:pPr>
              <w:spacing w:after="0" w:line="240" w:lineRule="auto"/>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 xml:space="preserve">+995 322 444 190 </w:t>
            </w:r>
          </w:p>
        </w:tc>
        <w:tc>
          <w:tcPr>
            <w:tcW w:w="2304" w:type="dxa"/>
          </w:tcPr>
          <w:p w:rsidR="005159DA" w:rsidRPr="007F4BA3" w:rsidRDefault="005159DA" w:rsidP="00F631B8">
            <w:pPr>
              <w:spacing w:after="0" w:line="240" w:lineRule="auto"/>
              <w:jc w:val="both"/>
              <w:rPr>
                <w:rFonts w:ascii="Times New Roman" w:hAnsi="Times New Roman"/>
                <w:color w:val="000000"/>
                <w:sz w:val="14"/>
                <w:szCs w:val="14"/>
                <w:lang w:val="en-GB" w:eastAsia="en-GB"/>
              </w:rPr>
            </w:pPr>
            <w:r>
              <w:rPr>
                <w:rFonts w:ascii="Times New Roman" w:hAnsi="Times New Roman"/>
                <w:color w:val="808080"/>
                <w:sz w:val="14"/>
                <w:szCs w:val="14"/>
                <w:lang w:val="en-GB" w:eastAsia="en-GB"/>
              </w:rPr>
              <w:t>+995 322 444 444 (9072)</w:t>
            </w:r>
            <w:r w:rsidRPr="007F4BA3">
              <w:rPr>
                <w:rFonts w:ascii="Times New Roman" w:hAnsi="Times New Roman"/>
                <w:color w:val="808080"/>
                <w:sz w:val="14"/>
                <w:szCs w:val="14"/>
                <w:lang w:val="en-GB" w:eastAsia="en-GB"/>
              </w:rPr>
              <w:t xml:space="preserve"> </w:t>
            </w:r>
          </w:p>
        </w:tc>
      </w:tr>
      <w:tr w:rsidR="005159DA" w:rsidRPr="007F4BA3" w:rsidTr="005159DA">
        <w:tc>
          <w:tcPr>
            <w:tcW w:w="2304" w:type="dxa"/>
            <w:tcMar>
              <w:top w:w="0" w:type="dxa"/>
              <w:left w:w="108" w:type="dxa"/>
              <w:bottom w:w="0" w:type="dxa"/>
              <w:right w:w="108" w:type="dxa"/>
            </w:tcMar>
            <w:hideMark/>
          </w:tcPr>
          <w:p w:rsidR="005159DA" w:rsidRPr="007F4BA3" w:rsidRDefault="00703CB2" w:rsidP="00F631B8">
            <w:pPr>
              <w:spacing w:after="0" w:line="240" w:lineRule="auto"/>
              <w:ind w:left="360" w:right="252"/>
              <w:jc w:val="both"/>
              <w:rPr>
                <w:rFonts w:ascii="Times New Roman" w:hAnsi="Times New Roman"/>
                <w:color w:val="808080"/>
                <w:sz w:val="14"/>
                <w:szCs w:val="14"/>
                <w:lang w:val="en-GB" w:eastAsia="en-GB"/>
              </w:rPr>
            </w:pPr>
            <w:hyperlink r:id="rId7" w:history="1">
              <w:r w:rsidR="005159DA" w:rsidRPr="00465170">
                <w:rPr>
                  <w:rStyle w:val="Hyperlink"/>
                  <w:rFonts w:ascii="Times New Roman" w:hAnsi="Times New Roman"/>
                  <w:sz w:val="14"/>
                  <w:szCs w:val="14"/>
                  <w:lang w:val="en-GB" w:eastAsia="en-GB"/>
                </w:rPr>
                <w:t>igilauri@gcap.ge</w:t>
              </w:r>
            </w:hyperlink>
            <w:r w:rsidR="005159DA">
              <w:rPr>
                <w:rFonts w:ascii="Times New Roman" w:hAnsi="Times New Roman"/>
                <w:sz w:val="14"/>
                <w:szCs w:val="14"/>
                <w:lang w:val="en-GB" w:eastAsia="en-GB"/>
              </w:rPr>
              <w:t xml:space="preserve"> </w:t>
            </w:r>
          </w:p>
        </w:tc>
        <w:tc>
          <w:tcPr>
            <w:tcW w:w="2304" w:type="dxa"/>
            <w:tcMar>
              <w:top w:w="0" w:type="dxa"/>
              <w:left w:w="108" w:type="dxa"/>
              <w:bottom w:w="0" w:type="dxa"/>
              <w:right w:w="108" w:type="dxa"/>
            </w:tcMar>
            <w:hideMark/>
          </w:tcPr>
          <w:p w:rsidR="005159DA" w:rsidRPr="007F4BA3" w:rsidRDefault="005159DA" w:rsidP="00F631B8">
            <w:pPr>
              <w:spacing w:after="0" w:line="240" w:lineRule="auto"/>
              <w:ind w:right="252"/>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 xml:space="preserve">          </w:t>
            </w:r>
            <w:hyperlink r:id="rId8" w:history="1">
              <w:r w:rsidRPr="007F4BA3">
                <w:rPr>
                  <w:rStyle w:val="Hyperlink"/>
                  <w:rFonts w:ascii="Times New Roman" w:hAnsi="Times New Roman"/>
                  <w:sz w:val="14"/>
                  <w:szCs w:val="14"/>
                  <w:lang w:val="en-GB" w:eastAsia="en-GB"/>
                </w:rPr>
                <w:t>moliver@bgeo.com</w:t>
              </w:r>
            </w:hyperlink>
          </w:p>
        </w:tc>
        <w:tc>
          <w:tcPr>
            <w:tcW w:w="2304" w:type="dxa"/>
            <w:tcMar>
              <w:top w:w="0" w:type="dxa"/>
              <w:left w:w="108" w:type="dxa"/>
              <w:bottom w:w="0" w:type="dxa"/>
              <w:right w:w="108" w:type="dxa"/>
            </w:tcMar>
            <w:hideMark/>
          </w:tcPr>
          <w:p w:rsidR="005159DA" w:rsidRPr="007F4BA3" w:rsidRDefault="00703CB2" w:rsidP="00F631B8">
            <w:pPr>
              <w:spacing w:after="0" w:line="240" w:lineRule="auto"/>
              <w:jc w:val="both"/>
              <w:rPr>
                <w:rFonts w:ascii="Times New Roman" w:hAnsi="Times New Roman"/>
                <w:color w:val="000000"/>
                <w:sz w:val="14"/>
                <w:szCs w:val="14"/>
                <w:lang w:val="en-GB" w:eastAsia="en-GB"/>
              </w:rPr>
            </w:pPr>
            <w:hyperlink r:id="rId9" w:history="1">
              <w:r w:rsidR="005159DA" w:rsidRPr="00465170">
                <w:rPr>
                  <w:rStyle w:val="Hyperlink"/>
                  <w:rFonts w:ascii="Times New Roman" w:hAnsi="Times New Roman"/>
                  <w:sz w:val="14"/>
                  <w:szCs w:val="14"/>
                  <w:lang w:val="en-GB" w:eastAsia="en-GB"/>
                </w:rPr>
                <w:t>giorgi.alpaidze@gcap.ge</w:t>
              </w:r>
            </w:hyperlink>
            <w:r w:rsidR="005159DA">
              <w:rPr>
                <w:rFonts w:ascii="Times New Roman" w:hAnsi="Times New Roman"/>
                <w:sz w:val="14"/>
                <w:szCs w:val="14"/>
                <w:lang w:val="en-GB" w:eastAsia="en-GB"/>
              </w:rPr>
              <w:t xml:space="preserve"> </w:t>
            </w:r>
          </w:p>
        </w:tc>
        <w:tc>
          <w:tcPr>
            <w:tcW w:w="2304" w:type="dxa"/>
          </w:tcPr>
          <w:p w:rsidR="005159DA" w:rsidRPr="007F4BA3" w:rsidRDefault="00703CB2" w:rsidP="00F631B8">
            <w:pPr>
              <w:spacing w:after="0" w:line="240" w:lineRule="auto"/>
              <w:jc w:val="both"/>
              <w:rPr>
                <w:rFonts w:ascii="Times New Roman" w:hAnsi="Times New Roman"/>
                <w:color w:val="000000"/>
                <w:sz w:val="14"/>
                <w:szCs w:val="14"/>
                <w:lang w:val="en-GB" w:eastAsia="en-GB"/>
              </w:rPr>
            </w:pPr>
            <w:hyperlink r:id="rId10" w:history="1">
              <w:r w:rsidR="005159DA" w:rsidRPr="00583165">
                <w:rPr>
                  <w:rStyle w:val="Hyperlink"/>
                  <w:rFonts w:ascii="Times New Roman" w:hAnsi="Times New Roman"/>
                  <w:sz w:val="14"/>
                  <w:szCs w:val="14"/>
                  <w:lang w:val="en-GB" w:eastAsia="en-GB"/>
                </w:rPr>
                <w:t>ir@gcap.ge</w:t>
              </w:r>
            </w:hyperlink>
            <w:r w:rsidR="005159DA">
              <w:rPr>
                <w:rFonts w:ascii="Times New Roman" w:hAnsi="Times New Roman"/>
                <w:sz w:val="14"/>
                <w:szCs w:val="14"/>
                <w:lang w:val="en-GB" w:eastAsia="en-GB"/>
              </w:rPr>
              <w:t xml:space="preserve"> </w:t>
            </w:r>
          </w:p>
        </w:tc>
      </w:tr>
    </w:tbl>
    <w:p w:rsidR="00CB71E5" w:rsidRDefault="00CB71E5" w:rsidP="00CB71E5">
      <w:pPr>
        <w:spacing w:after="0" w:line="240" w:lineRule="auto"/>
        <w:ind w:right="689"/>
        <w:jc w:val="both"/>
        <w:rPr>
          <w:rFonts w:ascii="Times New Roman" w:eastAsia="Times New Roman" w:hAnsi="Times New Roman"/>
          <w:sz w:val="24"/>
          <w:szCs w:val="24"/>
          <w:lang w:val="en-GB" w:eastAsia="en-GB"/>
        </w:rPr>
      </w:pPr>
    </w:p>
    <w:p w:rsidR="00CB71E5" w:rsidRDefault="00703CB2" w:rsidP="00CB71E5">
      <w:pPr>
        <w:spacing w:after="0" w:line="240" w:lineRule="auto"/>
        <w:ind w:right="689"/>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pict>
          <v:rect id="_x0000_i1025" style="width:453.95pt;height:.6pt" o:hrpct="970" o:hrstd="t" o:hr="t" fillcolor="#a0a0a0" stroked="f"/>
        </w:pict>
      </w:r>
    </w:p>
    <w:p w:rsidR="00BD7156" w:rsidRPr="00CB71E5" w:rsidRDefault="00F44AE5" w:rsidP="00CB71E5">
      <w:pPr>
        <w:spacing w:after="0" w:line="240" w:lineRule="auto"/>
        <w:ind w:right="689"/>
        <w:jc w:val="both"/>
        <w:rPr>
          <w:rFonts w:ascii="Times New Roman" w:hAnsi="Times New Roman"/>
          <w:sz w:val="14"/>
          <w:szCs w:val="14"/>
          <w:lang w:val="en-GB" w:eastAsia="en-GB"/>
        </w:rPr>
      </w:pPr>
      <w:r w:rsidRPr="007F4BA3">
        <w:rPr>
          <w:rFonts w:ascii="Times New Roman" w:hAnsi="Times New Roman"/>
          <w:i/>
          <w:iCs/>
          <w:color w:val="808080"/>
          <w:sz w:val="14"/>
          <w:szCs w:val="14"/>
          <w:lang w:eastAsia="en-GB"/>
        </w:rPr>
        <w:t>This news report is presented for general informational purposes only and should not be construed as an offer to sell or the solicitation of an offer to buy any securities</w:t>
      </w:r>
    </w:p>
    <w:sectPr w:rsidR="00BD7156" w:rsidRPr="00CB71E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CB2" w:rsidRDefault="00703CB2" w:rsidP="00820332">
      <w:pPr>
        <w:spacing w:after="0" w:line="240" w:lineRule="auto"/>
      </w:pPr>
      <w:r>
        <w:separator/>
      </w:r>
    </w:p>
  </w:endnote>
  <w:endnote w:type="continuationSeparator" w:id="0">
    <w:p w:rsidR="00703CB2" w:rsidRDefault="00703CB2" w:rsidP="0082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CB2" w:rsidRDefault="00703CB2" w:rsidP="00820332">
      <w:pPr>
        <w:spacing w:after="0" w:line="240" w:lineRule="auto"/>
      </w:pPr>
      <w:r>
        <w:separator/>
      </w:r>
    </w:p>
  </w:footnote>
  <w:footnote w:type="continuationSeparator" w:id="0">
    <w:p w:rsidR="00703CB2" w:rsidRDefault="00703CB2" w:rsidP="00820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AE5" w:rsidRDefault="00F44AE5">
    <w:pPr>
      <w:pStyle w:val="Header"/>
    </w:pPr>
    <w:r w:rsidRPr="00820332">
      <w:rPr>
        <w:noProof/>
        <w:color w:val="1A524A"/>
      </w:rPr>
      <w:drawing>
        <wp:anchor distT="0" distB="0" distL="114300" distR="114300" simplePos="0" relativeHeight="251659264" behindDoc="0" locked="0" layoutInCell="1" allowOverlap="1" wp14:anchorId="76B85350" wp14:editId="186110A3">
          <wp:simplePos x="0" y="0"/>
          <wp:positionH relativeFrom="margin">
            <wp:posOffset>-215900</wp:posOffset>
          </wp:positionH>
          <wp:positionV relativeFrom="margin">
            <wp:posOffset>-533400</wp:posOffset>
          </wp:positionV>
          <wp:extent cx="1910080" cy="7035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lides-logo black11.png"/>
                  <pic:cNvPicPr/>
                </pic:nvPicPr>
                <pic:blipFill>
                  <a:blip r:embed="rId1">
                    <a:extLst>
                      <a:ext uri="{28A0092B-C50C-407E-A947-70E740481C1C}">
                        <a14:useLocalDpi xmlns:a14="http://schemas.microsoft.com/office/drawing/2010/main" val="0"/>
                      </a:ext>
                    </a:extLst>
                  </a:blip>
                  <a:stretch>
                    <a:fillRect/>
                  </a:stretch>
                </pic:blipFill>
                <pic:spPr>
                  <a:xfrm>
                    <a:off x="0" y="0"/>
                    <a:ext cx="1910080" cy="70358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32"/>
    <w:rsid w:val="002E0131"/>
    <w:rsid w:val="00317F9F"/>
    <w:rsid w:val="0044313F"/>
    <w:rsid w:val="005159DA"/>
    <w:rsid w:val="005B3D1A"/>
    <w:rsid w:val="006964D1"/>
    <w:rsid w:val="00703CB2"/>
    <w:rsid w:val="007236A7"/>
    <w:rsid w:val="007319D9"/>
    <w:rsid w:val="007A6A30"/>
    <w:rsid w:val="007C5FAF"/>
    <w:rsid w:val="0081772C"/>
    <w:rsid w:val="00820332"/>
    <w:rsid w:val="008C0A88"/>
    <w:rsid w:val="00943C7B"/>
    <w:rsid w:val="009A31C2"/>
    <w:rsid w:val="00A2063C"/>
    <w:rsid w:val="00A905D1"/>
    <w:rsid w:val="00AB1F9E"/>
    <w:rsid w:val="00BD7156"/>
    <w:rsid w:val="00C1403B"/>
    <w:rsid w:val="00C53F33"/>
    <w:rsid w:val="00CB71E5"/>
    <w:rsid w:val="00D24A4A"/>
    <w:rsid w:val="00EB1C2C"/>
    <w:rsid w:val="00EB4C35"/>
    <w:rsid w:val="00EE2371"/>
    <w:rsid w:val="00EE52C3"/>
    <w:rsid w:val="00F44AE5"/>
    <w:rsid w:val="00F7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CAE0B"/>
  <w15:docId w15:val="{48A7A350-2A58-4F0D-9E40-51011658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32"/>
  </w:style>
  <w:style w:type="paragraph" w:styleId="Footer">
    <w:name w:val="footer"/>
    <w:basedOn w:val="Normal"/>
    <w:link w:val="FooterChar"/>
    <w:uiPriority w:val="99"/>
    <w:unhideWhenUsed/>
    <w:rsid w:val="00820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332"/>
  </w:style>
  <w:style w:type="paragraph" w:styleId="BalloonText">
    <w:name w:val="Balloon Text"/>
    <w:basedOn w:val="Normal"/>
    <w:link w:val="BalloonTextChar"/>
    <w:uiPriority w:val="99"/>
    <w:semiHidden/>
    <w:unhideWhenUsed/>
    <w:rsid w:val="0082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32"/>
    <w:rPr>
      <w:rFonts w:ascii="Tahoma" w:hAnsi="Tahoma" w:cs="Tahoma"/>
      <w:sz w:val="16"/>
      <w:szCs w:val="16"/>
    </w:rPr>
  </w:style>
  <w:style w:type="character" w:styleId="Hyperlink">
    <w:name w:val="Hyperlink"/>
    <w:basedOn w:val="DefaultParagraphFont"/>
    <w:uiPriority w:val="99"/>
    <w:unhideWhenUsed/>
    <w:rsid w:val="00F44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iver@bge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gilauri@gcap.g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orgiacapital.g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r@gcap.ge" TargetMode="External"/><Relationship Id="rId4" Type="http://schemas.openxmlformats.org/officeDocument/2006/relationships/footnotes" Target="footnotes.xml"/><Relationship Id="rId9" Type="http://schemas.openxmlformats.org/officeDocument/2006/relationships/hyperlink" Target="mailto:giorgi.alpaidze@gcap.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Rekhviashvili</dc:creator>
  <cp:lastModifiedBy>Nino Rekhviashvili</cp:lastModifiedBy>
  <cp:revision>2</cp:revision>
  <dcterms:created xsi:type="dcterms:W3CDTF">2018-05-29T04:56:00Z</dcterms:created>
  <dcterms:modified xsi:type="dcterms:W3CDTF">2018-05-29T04:56:00Z</dcterms:modified>
</cp:coreProperties>
</file>